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8E1DE" w14:textId="0DD0416B" w:rsidR="00CC5D41" w:rsidRPr="002520B6" w:rsidRDefault="009A1196" w:rsidP="001E00FE">
      <w:pPr>
        <w:pStyle w:val="H1-NotShowninContents"/>
        <w:ind w:right="679"/>
        <w:rPr>
          <w:b w:val="0"/>
          <w:bCs w:val="0"/>
        </w:rPr>
      </w:pPr>
      <w:r w:rsidRPr="002520B6">
        <w:rPr>
          <w:b w:val="0"/>
          <w:bCs w:val="0"/>
        </w:rPr>
        <w:t xml:space="preserve">British Beer &amp; Pub Association Group Pension Fund </w:t>
      </w:r>
      <w:r w:rsidR="002A20EF" w:rsidRPr="002520B6">
        <w:rPr>
          <w:b w:val="0"/>
          <w:bCs w:val="0"/>
        </w:rPr>
        <w:t xml:space="preserve">- </w:t>
      </w:r>
      <w:r w:rsidR="00CC5D41" w:rsidRPr="002520B6">
        <w:rPr>
          <w:b w:val="0"/>
          <w:bCs w:val="0"/>
        </w:rPr>
        <w:t xml:space="preserve">Implementation </w:t>
      </w:r>
      <w:r w:rsidR="006C2055" w:rsidRPr="002520B6">
        <w:rPr>
          <w:b w:val="0"/>
          <w:bCs w:val="0"/>
        </w:rPr>
        <w:t>St</w:t>
      </w:r>
      <w:r w:rsidR="00CC5D41" w:rsidRPr="002520B6">
        <w:rPr>
          <w:b w:val="0"/>
          <w:bCs w:val="0"/>
        </w:rPr>
        <w:t>atement</w:t>
      </w:r>
      <w:r w:rsidR="004B65BA" w:rsidRPr="002520B6">
        <w:rPr>
          <w:b w:val="0"/>
          <w:bCs w:val="0"/>
        </w:rPr>
        <w:t xml:space="preserve"> </w:t>
      </w:r>
      <w:r w:rsidR="00A3430D" w:rsidRPr="002520B6">
        <w:rPr>
          <w:b w:val="0"/>
          <w:bCs w:val="0"/>
        </w:rPr>
        <w:t>for the year ended 3</w:t>
      </w:r>
      <w:r w:rsidRPr="002520B6">
        <w:rPr>
          <w:b w:val="0"/>
          <w:bCs w:val="0"/>
        </w:rPr>
        <w:t>0 September</w:t>
      </w:r>
      <w:r w:rsidR="00A3430D" w:rsidRPr="002520B6">
        <w:rPr>
          <w:b w:val="0"/>
          <w:bCs w:val="0"/>
        </w:rPr>
        <w:t xml:space="preserve"> 202</w:t>
      </w:r>
      <w:r w:rsidR="00CE3AAF">
        <w:rPr>
          <w:b w:val="0"/>
          <w:bCs w:val="0"/>
        </w:rPr>
        <w:t>4</w:t>
      </w:r>
    </w:p>
    <w:p w14:paraId="08872C6A" w14:textId="77777777" w:rsidR="0041725C" w:rsidRPr="002520B6" w:rsidRDefault="0041725C" w:rsidP="00D266EC">
      <w:pPr>
        <w:pStyle w:val="Heading2"/>
        <w:numPr>
          <w:ilvl w:val="0"/>
          <w:numId w:val="27"/>
        </w:numPr>
        <w:ind w:left="357" w:hanging="357"/>
      </w:pPr>
      <w:r w:rsidRPr="002520B6">
        <w:t>Purpose</w:t>
      </w:r>
    </w:p>
    <w:p w14:paraId="44BF84CC" w14:textId="32A3B3B7" w:rsidR="0041725C" w:rsidRPr="002520B6" w:rsidRDefault="0041725C" w:rsidP="00740622">
      <w:r w:rsidRPr="002520B6">
        <w:t>This Implementation Statement</w:t>
      </w:r>
      <w:r w:rsidR="00671395" w:rsidRPr="002520B6">
        <w:t xml:space="preserve"> </w:t>
      </w:r>
      <w:r w:rsidR="00954D15">
        <w:t xml:space="preserve">(“Statement”) </w:t>
      </w:r>
      <w:r w:rsidR="00671395" w:rsidRPr="002520B6">
        <w:t>has been prepared by the Trustees of</w:t>
      </w:r>
      <w:r w:rsidR="00740622" w:rsidRPr="002520B6">
        <w:t xml:space="preserve"> the</w:t>
      </w:r>
      <w:r w:rsidR="00671395" w:rsidRPr="002520B6">
        <w:t xml:space="preserve"> </w:t>
      </w:r>
      <w:r w:rsidR="009A1196" w:rsidRPr="002520B6">
        <w:t>British Beer &amp; Pub Association Group Pension Fund</w:t>
      </w:r>
      <w:r w:rsidR="00671395" w:rsidRPr="002520B6">
        <w:t xml:space="preserve"> (the “</w:t>
      </w:r>
      <w:r w:rsidR="009A1196" w:rsidRPr="002520B6">
        <w:t>Fund</w:t>
      </w:r>
      <w:r w:rsidR="00671395" w:rsidRPr="002520B6">
        <w:t>”). It</w:t>
      </w:r>
      <w:r w:rsidRPr="002520B6">
        <w:t xml:space="preserve"> reports on how, and the extent to which, the</w:t>
      </w:r>
      <w:r w:rsidR="00FE12CC" w:rsidRPr="002520B6">
        <w:t xml:space="preserve"> voting and stewardship, conflicts of interest and engagement</w:t>
      </w:r>
      <w:r w:rsidRPr="002520B6">
        <w:t xml:space="preserve"> policies set out in the </w:t>
      </w:r>
      <w:r w:rsidR="009A1196" w:rsidRPr="002520B6">
        <w:t>Fund</w:t>
      </w:r>
      <w:r w:rsidRPr="002520B6">
        <w:t>’s Statement of Investment Principles (“SIP”) have been complied with during the year ended 3</w:t>
      </w:r>
      <w:r w:rsidR="00FE12CC" w:rsidRPr="002520B6">
        <w:t>0 September</w:t>
      </w:r>
      <w:r w:rsidR="002E12A5" w:rsidRPr="002520B6">
        <w:t xml:space="preserve"> </w:t>
      </w:r>
      <w:r w:rsidRPr="002520B6">
        <w:t>202</w:t>
      </w:r>
      <w:r w:rsidR="00B60DCE">
        <w:t>4</w:t>
      </w:r>
      <w:r w:rsidRPr="002520B6">
        <w:t xml:space="preserve">. </w:t>
      </w:r>
      <w:r w:rsidR="00D266EC" w:rsidRPr="002520B6">
        <w:t xml:space="preserve">This review has been conducted by the </w:t>
      </w:r>
      <w:r w:rsidR="009A1196" w:rsidRPr="002520B6">
        <w:t>Fund</w:t>
      </w:r>
      <w:r w:rsidR="00D266EC" w:rsidRPr="002520B6">
        <w:t xml:space="preserve">’s investment adviser and the Trustees have reviewed and approved the conclusions within this statement. </w:t>
      </w:r>
      <w:r w:rsidR="009F6562" w:rsidRPr="002520B6">
        <w:t xml:space="preserve">The </w:t>
      </w:r>
      <w:r w:rsidR="00954D15">
        <w:t>S</w:t>
      </w:r>
      <w:r w:rsidR="009F6562" w:rsidRPr="002520B6">
        <w:t>tatement also provides a summary of the voting behaviour and most significant votes cast during the reporting year.</w:t>
      </w:r>
    </w:p>
    <w:p w14:paraId="025658FC" w14:textId="77777777" w:rsidR="0041725C" w:rsidRPr="002520B6" w:rsidRDefault="0041725C" w:rsidP="00D266EC">
      <w:pPr>
        <w:pStyle w:val="Heading2"/>
        <w:numPr>
          <w:ilvl w:val="0"/>
          <w:numId w:val="27"/>
        </w:numPr>
        <w:ind w:left="357" w:hanging="357"/>
      </w:pPr>
      <w:r w:rsidRPr="002520B6">
        <w:t>Background</w:t>
      </w:r>
    </w:p>
    <w:p w14:paraId="5EF06F4E" w14:textId="4D3252B7" w:rsidR="00915720" w:rsidRPr="002520B6" w:rsidRDefault="009F6562" w:rsidP="00915720">
      <w:r w:rsidRPr="002520B6">
        <w:t xml:space="preserve">This </w:t>
      </w:r>
      <w:r w:rsidR="00954D15">
        <w:t>S</w:t>
      </w:r>
      <w:r w:rsidRPr="002520B6">
        <w:t>tatement has been prepared by the Trustee</w:t>
      </w:r>
      <w:r w:rsidR="00D266EC" w:rsidRPr="002520B6">
        <w:t>s</w:t>
      </w:r>
      <w:r w:rsidRPr="002520B6">
        <w:t xml:space="preserve">, with the assistance of its Investment Adviser (Quantum Advisory), in line with the current regulatory guidance that was in place at the </w:t>
      </w:r>
      <w:r w:rsidR="009A1196" w:rsidRPr="002520B6">
        <w:t>Fund</w:t>
      </w:r>
      <w:r w:rsidRPr="002520B6">
        <w:t xml:space="preserve"> year end. </w:t>
      </w:r>
    </w:p>
    <w:p w14:paraId="495DB4C6" w14:textId="2AECF143" w:rsidR="00915720" w:rsidRPr="002520B6" w:rsidRDefault="00915720" w:rsidP="00915720">
      <w:r w:rsidRPr="002520B6">
        <w:t xml:space="preserve">References herein to the actions, review work or determinations of the Trustees refer to activity that has been carried out by either the Trustees, or the Investment Adviser on the Trustees’ behalf. </w:t>
      </w:r>
    </w:p>
    <w:p w14:paraId="513DEB1A" w14:textId="77777777" w:rsidR="0041725C" w:rsidRPr="002520B6" w:rsidRDefault="0041725C" w:rsidP="00D266EC">
      <w:pPr>
        <w:pStyle w:val="Heading2"/>
        <w:numPr>
          <w:ilvl w:val="0"/>
          <w:numId w:val="27"/>
        </w:numPr>
        <w:ind w:left="357" w:hanging="357"/>
      </w:pPr>
      <w:r w:rsidRPr="002520B6">
        <w:t>Executive summary</w:t>
      </w:r>
    </w:p>
    <w:p w14:paraId="4F7136DC" w14:textId="3E32A866" w:rsidR="0041725C" w:rsidRPr="002520B6" w:rsidRDefault="0041725C" w:rsidP="0041725C">
      <w:r w:rsidRPr="002520B6">
        <w:t xml:space="preserve">Over the </w:t>
      </w:r>
      <w:r w:rsidR="009A1196" w:rsidRPr="002520B6">
        <w:t>Fund</w:t>
      </w:r>
      <w:r w:rsidRPr="002520B6">
        <w:t xml:space="preserve"> year:</w:t>
      </w:r>
    </w:p>
    <w:p w14:paraId="014E5FD8" w14:textId="31FCEA80" w:rsidR="00B17263" w:rsidRPr="002520B6" w:rsidRDefault="00D266EC" w:rsidP="00B17263">
      <w:pPr>
        <w:pStyle w:val="ListParagraph"/>
        <w:numPr>
          <w:ilvl w:val="0"/>
          <w:numId w:val="28"/>
        </w:numPr>
        <w:spacing w:before="120" w:after="120"/>
        <w:ind w:left="714" w:hanging="357"/>
        <w:contextualSpacing w:val="0"/>
      </w:pPr>
      <w:r w:rsidRPr="002520B6">
        <w:t>The Trustees</w:t>
      </w:r>
      <w:r w:rsidR="00713C58" w:rsidRPr="002520B6">
        <w:t>’</w:t>
      </w:r>
      <w:r w:rsidRPr="002520B6">
        <w:t xml:space="preserve"> Investment Adviser </w:t>
      </w:r>
      <w:r w:rsidR="0041725C" w:rsidRPr="002520B6">
        <w:t>reviewed the voting and engagement activity of the funds that invest in equities.</w:t>
      </w:r>
      <w:r w:rsidR="00DC7AF6" w:rsidRPr="002520B6">
        <w:t xml:space="preserve"> </w:t>
      </w:r>
      <w:r w:rsidR="0041725C" w:rsidRPr="002520B6">
        <w:t>The Trustees</w:t>
      </w:r>
      <w:r w:rsidR="00B17263" w:rsidRPr="002520B6">
        <w:t xml:space="preserve"> </w:t>
      </w:r>
      <w:r w:rsidR="0041725C" w:rsidRPr="002520B6">
        <w:t xml:space="preserve">are </w:t>
      </w:r>
      <w:r w:rsidR="00DC7AF6" w:rsidRPr="002520B6">
        <w:t xml:space="preserve">satisfied </w:t>
      </w:r>
      <w:r w:rsidRPr="002520B6">
        <w:t xml:space="preserve">with their Investment Adviser’s conclusion </w:t>
      </w:r>
      <w:r w:rsidR="0041725C" w:rsidRPr="002520B6">
        <w:t xml:space="preserve">that the </w:t>
      </w:r>
      <w:r w:rsidR="009A1196" w:rsidRPr="002520B6">
        <w:t>Fund</w:t>
      </w:r>
      <w:r w:rsidR="0041725C" w:rsidRPr="002520B6">
        <w:t>’s investment managers have appropriately carried out their stewardship duties.</w:t>
      </w:r>
    </w:p>
    <w:p w14:paraId="206D3A13" w14:textId="2638BB0B" w:rsidR="00B17263" w:rsidRPr="002520B6" w:rsidRDefault="00D266EC" w:rsidP="00B17263">
      <w:pPr>
        <w:pStyle w:val="ListParagraph"/>
        <w:numPr>
          <w:ilvl w:val="0"/>
          <w:numId w:val="28"/>
        </w:numPr>
        <w:spacing w:before="120" w:after="120"/>
        <w:ind w:left="714" w:hanging="357"/>
        <w:contextualSpacing w:val="0"/>
      </w:pPr>
      <w:r w:rsidRPr="002520B6">
        <w:t>The Trustees a</w:t>
      </w:r>
      <w:r w:rsidR="0041725C" w:rsidRPr="002520B6">
        <w:t>re</w:t>
      </w:r>
      <w:r w:rsidR="00B17263" w:rsidRPr="002520B6">
        <w:t xml:space="preserve"> </w:t>
      </w:r>
      <w:r w:rsidR="0041725C" w:rsidRPr="002520B6">
        <w:t>of the opinion that they have complied with the relevant policies and procedures as identified in the SIP.</w:t>
      </w:r>
      <w:r w:rsidR="009F6562" w:rsidRPr="002520B6">
        <w:t xml:space="preserve"> </w:t>
      </w:r>
    </w:p>
    <w:p w14:paraId="5EFD9D88" w14:textId="21011DA8" w:rsidR="0041725C" w:rsidRPr="002520B6" w:rsidRDefault="00D266EC" w:rsidP="00B17263">
      <w:pPr>
        <w:pStyle w:val="ListParagraph"/>
        <w:numPr>
          <w:ilvl w:val="0"/>
          <w:numId w:val="28"/>
        </w:numPr>
        <w:spacing w:before="120" w:after="120"/>
        <w:ind w:left="714" w:hanging="357"/>
        <w:contextualSpacing w:val="0"/>
      </w:pPr>
      <w:r w:rsidRPr="002520B6">
        <w:t>The Trustees h</w:t>
      </w:r>
      <w:r w:rsidR="0041725C" w:rsidRPr="002520B6">
        <w:t xml:space="preserve">ave remained aware of the relevant policies and procedures as identified in the SIP and received input from their Investment Adviser to aid ongoing compliance.  </w:t>
      </w:r>
    </w:p>
    <w:p w14:paraId="0F9A94D9" w14:textId="17B4D8E8" w:rsidR="00D266EC" w:rsidRPr="002520B6" w:rsidRDefault="00915720" w:rsidP="00D266EC">
      <w:bookmarkStart w:id="0" w:name="_Hlk141685979"/>
      <w:r w:rsidRPr="002520B6">
        <w:t>F</w:t>
      </w:r>
      <w:bookmarkEnd w:id="0"/>
      <w:r w:rsidR="00A3430D" w:rsidRPr="002520B6">
        <w:t xml:space="preserve">unds that do not hold equities </w:t>
      </w:r>
      <w:r w:rsidRPr="002520B6">
        <w:t xml:space="preserve">do not have voting rights. </w:t>
      </w:r>
      <w:r w:rsidR="00A3430D" w:rsidRPr="002520B6">
        <w:t xml:space="preserve">However, the general stewardship practices of </w:t>
      </w:r>
      <w:r w:rsidR="0066438B" w:rsidRPr="002520B6">
        <w:t>these</w:t>
      </w:r>
      <w:r w:rsidR="00A3430D" w:rsidRPr="002520B6">
        <w:t xml:space="preserve"> </w:t>
      </w:r>
      <w:r w:rsidR="0066438B" w:rsidRPr="002520B6">
        <w:t>funds</w:t>
      </w:r>
      <w:r w:rsidR="00A3430D" w:rsidRPr="002520B6">
        <w:t xml:space="preserve"> ha</w:t>
      </w:r>
      <w:r w:rsidR="00F71A15" w:rsidRPr="002520B6">
        <w:t>ve</w:t>
      </w:r>
      <w:r w:rsidR="00A3430D" w:rsidRPr="002520B6">
        <w:t xml:space="preserve"> been reviewed to ensure th</w:t>
      </w:r>
      <w:r w:rsidR="0066438B" w:rsidRPr="002520B6">
        <w:t xml:space="preserve">e managers </w:t>
      </w:r>
      <w:r w:rsidR="00A3430D" w:rsidRPr="002520B6">
        <w:t>actively engage with their investments.</w:t>
      </w:r>
    </w:p>
    <w:p w14:paraId="6ED8FEB4" w14:textId="5239981C" w:rsidR="0041725C" w:rsidRPr="002520B6" w:rsidRDefault="0066438B" w:rsidP="00D266EC">
      <w:pPr>
        <w:pStyle w:val="Heading2"/>
        <w:numPr>
          <w:ilvl w:val="0"/>
          <w:numId w:val="27"/>
        </w:numPr>
        <w:ind w:left="357" w:hanging="357"/>
      </w:pPr>
      <w:r w:rsidRPr="002520B6">
        <w:t>V</w:t>
      </w:r>
      <w:r w:rsidR="0041725C" w:rsidRPr="002520B6">
        <w:t>oting</w:t>
      </w:r>
      <w:r w:rsidR="00F71A15" w:rsidRPr="002520B6">
        <w:t>,</w:t>
      </w:r>
      <w:r w:rsidR="00AB6CCB" w:rsidRPr="002520B6">
        <w:t xml:space="preserve"> stewardship </w:t>
      </w:r>
      <w:r w:rsidR="0041725C" w:rsidRPr="002520B6">
        <w:t>policies and activity</w:t>
      </w:r>
    </w:p>
    <w:p w14:paraId="15B03DA6" w14:textId="77777777" w:rsidR="0041725C" w:rsidRPr="002520B6" w:rsidRDefault="0041725C" w:rsidP="009E7B7A">
      <w:pPr>
        <w:keepNext/>
        <w:spacing w:before="240" w:after="20"/>
        <w:contextualSpacing/>
        <w:outlineLvl w:val="2"/>
        <w:rPr>
          <w:rFonts w:cs="Arial"/>
          <w:b/>
          <w:bCs/>
          <w:color w:val="004712" w:themeColor="accent1"/>
          <w:sz w:val="24"/>
          <w:szCs w:val="26"/>
        </w:rPr>
      </w:pPr>
      <w:r w:rsidRPr="002520B6">
        <w:rPr>
          <w:rFonts w:cs="Arial"/>
          <w:b/>
          <w:bCs/>
          <w:color w:val="004712" w:themeColor="accent1"/>
          <w:sz w:val="24"/>
          <w:szCs w:val="26"/>
        </w:rPr>
        <w:t>Trustees’ voting and stewardship policies</w:t>
      </w:r>
    </w:p>
    <w:p w14:paraId="3C6A6B2B" w14:textId="0C861BFC" w:rsidR="00A3430D" w:rsidRPr="002520B6" w:rsidRDefault="00A3430D" w:rsidP="00A3430D">
      <w:pPr>
        <w:rPr>
          <w:szCs w:val="21"/>
        </w:rPr>
      </w:pPr>
      <w:r w:rsidRPr="002520B6">
        <w:rPr>
          <w:szCs w:val="21"/>
        </w:rPr>
        <w:t>The Trustee</w:t>
      </w:r>
      <w:r w:rsidR="00D266EC" w:rsidRPr="002520B6">
        <w:rPr>
          <w:szCs w:val="21"/>
        </w:rPr>
        <w:t>s</w:t>
      </w:r>
      <w:r w:rsidRPr="002520B6">
        <w:t xml:space="preserve"> </w:t>
      </w:r>
      <w:r w:rsidRPr="002520B6">
        <w:rPr>
          <w:szCs w:val="21"/>
        </w:rPr>
        <w:t xml:space="preserve">consider how stewardship factors are integrated into the investment processes when: </w:t>
      </w:r>
      <w:r w:rsidR="00713C58" w:rsidRPr="002520B6">
        <w:rPr>
          <w:szCs w:val="21"/>
        </w:rPr>
        <w:br/>
      </w:r>
      <w:r w:rsidRPr="002520B6">
        <w:rPr>
          <w:szCs w:val="21"/>
        </w:rPr>
        <w:t>(</w:t>
      </w:r>
      <w:proofErr w:type="spellStart"/>
      <w:r w:rsidRPr="002520B6">
        <w:rPr>
          <w:szCs w:val="21"/>
        </w:rPr>
        <w:t>i</w:t>
      </w:r>
      <w:proofErr w:type="spellEnd"/>
      <w:r w:rsidRPr="002520B6">
        <w:rPr>
          <w:szCs w:val="21"/>
        </w:rPr>
        <w:t xml:space="preserve">) appointing new investment managers; and (ii) monitoring existing investment managers.  </w:t>
      </w:r>
    </w:p>
    <w:p w14:paraId="599E2FC7" w14:textId="4CB92D21" w:rsidR="00A3430D" w:rsidRPr="002520B6" w:rsidRDefault="00A3430D" w:rsidP="00A3430D">
      <w:r w:rsidRPr="002520B6">
        <w:lastRenderedPageBreak/>
        <w:t>The Trustee</w:t>
      </w:r>
      <w:r w:rsidR="006625C1" w:rsidRPr="002520B6">
        <w:t>s are</w:t>
      </w:r>
      <w:r w:rsidRPr="002520B6">
        <w:t xml:space="preserve"> unable to direct how votes are exercised and have not used proxy voting services over the year. The Trustee</w:t>
      </w:r>
      <w:r w:rsidR="006625C1" w:rsidRPr="002520B6">
        <w:t>s have</w:t>
      </w:r>
      <w:r w:rsidR="00FF56B5" w:rsidRPr="002520B6">
        <w:t xml:space="preserve"> selected their investment managers with their attitude to Responsible Investment in mind and having considered their ESG processes and hence they have</w:t>
      </w:r>
      <w:r w:rsidRPr="002520B6">
        <w:t xml:space="preserve"> given the </w:t>
      </w:r>
      <w:r w:rsidRPr="002520B6">
        <w:rPr>
          <w:szCs w:val="21"/>
        </w:rPr>
        <w:t xml:space="preserve">investment managers full discretion concerning voting and engagement decisions. </w:t>
      </w:r>
      <w:r w:rsidRPr="002520B6">
        <w:t>As part of this exercise, the Trustee</w:t>
      </w:r>
      <w:r w:rsidR="006625C1" w:rsidRPr="002520B6">
        <w:t>s</w:t>
      </w:r>
      <w:r w:rsidRPr="002520B6">
        <w:t>,</w:t>
      </w:r>
      <w:r w:rsidR="006625C1" w:rsidRPr="002520B6">
        <w:t xml:space="preserve"> with the assistance of their Investment Adviser, </w:t>
      </w:r>
      <w:r w:rsidRPr="002520B6">
        <w:t>ha</w:t>
      </w:r>
      <w:r w:rsidR="006625C1" w:rsidRPr="002520B6">
        <w:t>ve</w:t>
      </w:r>
      <w:r w:rsidRPr="002520B6">
        <w:t xml:space="preserve"> reviewed the voting activities and stewardship policies of the funds. </w:t>
      </w:r>
    </w:p>
    <w:p w14:paraId="053D4C2C" w14:textId="77777777" w:rsidR="000052AA" w:rsidRPr="002520B6" w:rsidRDefault="000052AA" w:rsidP="0041725C">
      <w:r w:rsidRPr="002520B6">
        <w:t xml:space="preserve">The Trustees do not currently have any stewardship priorities in place. </w:t>
      </w:r>
    </w:p>
    <w:p w14:paraId="14C4D267" w14:textId="46D21A07" w:rsidR="0041725C" w:rsidRPr="00050E5B" w:rsidRDefault="0041725C" w:rsidP="0041725C">
      <w:r w:rsidRPr="00050E5B">
        <w:t xml:space="preserve">Over the </w:t>
      </w:r>
      <w:r w:rsidR="009A1196" w:rsidRPr="00050E5B">
        <w:t>Fund</w:t>
      </w:r>
      <w:r w:rsidRPr="00050E5B">
        <w:t xml:space="preserve"> year, the voting activities of the following funds have been reviewed</w:t>
      </w:r>
      <w:r w:rsidR="006625C1" w:rsidRPr="00050E5B">
        <w:t xml:space="preserve"> by Quantum Advisory on behalf of the Trustees</w:t>
      </w:r>
      <w:r w:rsidRPr="00050E5B">
        <w:t>:</w:t>
      </w:r>
    </w:p>
    <w:p w14:paraId="7600D6DC" w14:textId="5AAF106B" w:rsidR="00AC0ADE" w:rsidRPr="00050E5B" w:rsidRDefault="00AC0ADE" w:rsidP="00AC0ADE">
      <w:pPr>
        <w:numPr>
          <w:ilvl w:val="0"/>
          <w:numId w:val="4"/>
        </w:numPr>
        <w:spacing w:after="120"/>
        <w:ind w:left="284" w:hanging="284"/>
        <w:contextualSpacing/>
      </w:pPr>
      <w:bookmarkStart w:id="1" w:name="_Hlk186812036"/>
      <w:r w:rsidRPr="00050E5B">
        <w:t>BNY Mellon Multi Asset Diversified Return</w:t>
      </w:r>
      <w:r w:rsidR="0066438B" w:rsidRPr="00050E5B">
        <w:t xml:space="preserve"> Fund</w:t>
      </w:r>
      <w:r w:rsidR="00F71A15" w:rsidRPr="00050E5B">
        <w:t xml:space="preserve"> (which is managed by Newton Investment Management)</w:t>
      </w:r>
    </w:p>
    <w:bookmarkEnd w:id="1"/>
    <w:p w14:paraId="06A4A2E2" w14:textId="231D3065" w:rsidR="00AC0ADE" w:rsidRPr="00050E5B" w:rsidRDefault="00AC0ADE" w:rsidP="00AC0ADE">
      <w:pPr>
        <w:numPr>
          <w:ilvl w:val="0"/>
          <w:numId w:val="4"/>
        </w:numPr>
        <w:spacing w:after="120"/>
        <w:ind w:left="284" w:hanging="284"/>
        <w:contextualSpacing/>
      </w:pPr>
      <w:r w:rsidRPr="00050E5B">
        <w:t>Fundsmith Equity Fund</w:t>
      </w:r>
    </w:p>
    <w:p w14:paraId="10172B4A" w14:textId="72D32548" w:rsidR="00E454D1" w:rsidRPr="00050E5B" w:rsidRDefault="00E454D1" w:rsidP="00CE60E8">
      <w:pPr>
        <w:spacing w:after="120"/>
        <w:contextualSpacing/>
      </w:pPr>
    </w:p>
    <w:p w14:paraId="294A2E79" w14:textId="79D6AB30" w:rsidR="00E454D1" w:rsidRPr="00050E5B" w:rsidRDefault="00E454D1" w:rsidP="00CE60E8">
      <w:pPr>
        <w:spacing w:after="120"/>
        <w:contextualSpacing/>
      </w:pPr>
      <w:r w:rsidRPr="00050E5B">
        <w:t>The Trustees have reported on the funds that were held at the year-end date.</w:t>
      </w:r>
    </w:p>
    <w:p w14:paraId="4DC7534A" w14:textId="77777777" w:rsidR="00E454D1" w:rsidRPr="00050E5B" w:rsidRDefault="00E454D1" w:rsidP="00CE60E8">
      <w:pPr>
        <w:spacing w:after="120"/>
        <w:contextualSpacing/>
      </w:pPr>
    </w:p>
    <w:p w14:paraId="4445C5C6" w14:textId="115D4E2F" w:rsidR="00A3430D" w:rsidRPr="00050E5B" w:rsidRDefault="00E454D1" w:rsidP="00A3430D">
      <w:r w:rsidRPr="00050E5B">
        <w:t>Furthermore</w:t>
      </w:r>
      <w:r w:rsidR="00A3430D" w:rsidRPr="00050E5B">
        <w:t>, the general stewardship policies of the above funds and the funds listed below have also been reviewed</w:t>
      </w:r>
      <w:r w:rsidR="006625C1" w:rsidRPr="00050E5B">
        <w:t xml:space="preserve"> by Quantum Advisory on behalf of the Trustees</w:t>
      </w:r>
      <w:r w:rsidR="00A3430D" w:rsidRPr="00050E5B">
        <w:t>:</w:t>
      </w:r>
    </w:p>
    <w:p w14:paraId="49C0DCAA" w14:textId="77777777" w:rsidR="00050126" w:rsidRPr="0002008A" w:rsidRDefault="00050126" w:rsidP="00050126">
      <w:pPr>
        <w:numPr>
          <w:ilvl w:val="0"/>
          <w:numId w:val="47"/>
        </w:numPr>
        <w:spacing w:after="120"/>
        <w:contextualSpacing/>
      </w:pPr>
      <w:bookmarkStart w:id="2" w:name="_Hlk186812666"/>
      <w:r w:rsidRPr="0002008A">
        <w:t>M&amp;G Total Return Credit Investment Fund</w:t>
      </w:r>
      <w:bookmarkEnd w:id="2"/>
    </w:p>
    <w:p w14:paraId="469594C7" w14:textId="77777777" w:rsidR="00050126" w:rsidRPr="0002008A" w:rsidRDefault="009F0164" w:rsidP="00050126">
      <w:pPr>
        <w:numPr>
          <w:ilvl w:val="0"/>
          <w:numId w:val="47"/>
        </w:numPr>
        <w:spacing w:after="120"/>
        <w:contextualSpacing/>
      </w:pPr>
      <w:r w:rsidRPr="0002008A">
        <w:t>Insight UK Corporate Long Maturities</w:t>
      </w:r>
      <w:r w:rsidR="0066438B" w:rsidRPr="0002008A">
        <w:t xml:space="preserve"> Fund</w:t>
      </w:r>
    </w:p>
    <w:p w14:paraId="72BD70C6" w14:textId="77777777" w:rsidR="00050126" w:rsidRPr="0002008A" w:rsidRDefault="00552487" w:rsidP="00050126">
      <w:pPr>
        <w:numPr>
          <w:ilvl w:val="0"/>
          <w:numId w:val="47"/>
        </w:numPr>
        <w:spacing w:after="120"/>
        <w:contextualSpacing/>
      </w:pPr>
      <w:r w:rsidRPr="0002008A">
        <w:t xml:space="preserve">Insight LDI Partially Funded Gilts </w:t>
      </w:r>
      <w:r w:rsidR="002A20EF" w:rsidRPr="0002008A">
        <w:t>and Index-Linked Gilts Fund range</w:t>
      </w:r>
    </w:p>
    <w:p w14:paraId="630A85D9" w14:textId="40A41B70" w:rsidR="001F1D98" w:rsidRPr="00050E5B" w:rsidRDefault="001F1D98" w:rsidP="00050126">
      <w:pPr>
        <w:numPr>
          <w:ilvl w:val="0"/>
          <w:numId w:val="47"/>
        </w:numPr>
        <w:spacing w:after="120"/>
        <w:contextualSpacing/>
      </w:pPr>
      <w:r w:rsidRPr="0002008A">
        <w:t>Insight LDI Solutions Plus Fully Funded Gilts and Index-Linked Gilts Fund range</w:t>
      </w:r>
    </w:p>
    <w:p w14:paraId="17A12F0A" w14:textId="13675452" w:rsidR="0066586D" w:rsidRPr="002520B6" w:rsidRDefault="0066586D" w:rsidP="009E7B7A">
      <w:pPr>
        <w:spacing w:before="240" w:after="20"/>
        <w:rPr>
          <w:b/>
          <w:color w:val="004712" w:themeColor="accent1"/>
          <w:sz w:val="24"/>
        </w:rPr>
      </w:pPr>
      <w:bookmarkStart w:id="3" w:name="_Hlk109900277"/>
      <w:r w:rsidRPr="002520B6">
        <w:rPr>
          <w:b/>
          <w:color w:val="004712" w:themeColor="accent1"/>
          <w:sz w:val="24"/>
        </w:rPr>
        <w:t xml:space="preserve">Manager’s voting </w:t>
      </w:r>
      <w:r w:rsidR="00144718" w:rsidRPr="002520B6">
        <w:rPr>
          <w:b/>
          <w:color w:val="004712" w:themeColor="accent1"/>
          <w:sz w:val="24"/>
        </w:rPr>
        <w:t xml:space="preserve">and stewardship </w:t>
      </w:r>
      <w:r w:rsidRPr="002520B6">
        <w:rPr>
          <w:b/>
          <w:color w:val="004712" w:themeColor="accent1"/>
          <w:sz w:val="24"/>
        </w:rPr>
        <w:t xml:space="preserve">policies </w:t>
      </w:r>
      <w:r w:rsidR="00144718" w:rsidRPr="002520B6">
        <w:rPr>
          <w:b/>
          <w:color w:val="004712" w:themeColor="accent1"/>
          <w:sz w:val="24"/>
        </w:rPr>
        <w:t>and procedures</w:t>
      </w:r>
    </w:p>
    <w:p w14:paraId="539A6AAD" w14:textId="1E9C0B27" w:rsidR="006625C1" w:rsidRPr="002520B6" w:rsidRDefault="00144718" w:rsidP="006625C1">
      <w:r w:rsidRPr="002520B6">
        <w:t xml:space="preserve">Details of the managers voting and stewardship policies can be found in Appendix 1. </w:t>
      </w:r>
      <w:r w:rsidR="00A3430D" w:rsidRPr="002520B6">
        <w:t xml:space="preserve">In this </w:t>
      </w:r>
      <w:r w:rsidR="006475E2">
        <w:t>S</w:t>
      </w:r>
      <w:r w:rsidR="00A3430D" w:rsidRPr="002520B6">
        <w:t xml:space="preserve">tatement, </w:t>
      </w:r>
      <w:r w:rsidR="006625C1" w:rsidRPr="002520B6">
        <w:t>Quantum Advisory has noted the investment managers stewardship policies and the</w:t>
      </w:r>
      <w:r w:rsidR="00A3430D" w:rsidRPr="002520B6">
        <w:t xml:space="preserve"> extent to which the investment managers make use of any proxy advisory and voting services. </w:t>
      </w:r>
      <w:r w:rsidR="006625C1" w:rsidRPr="002520B6">
        <w:t xml:space="preserve">Quantum Advisory are satisfied that the voting and policies/procedures of the investment managers are reasonable and consistent with industry practice. </w:t>
      </w:r>
      <w:r w:rsidR="00DC7AF6" w:rsidRPr="002520B6">
        <w:t xml:space="preserve">Quantum Advisory are also satisfied that the general stewardship policies of all the investment managers are reasonable and consistent with industry practice. </w:t>
      </w:r>
      <w:r w:rsidR="000477FE" w:rsidRPr="002520B6">
        <w:t xml:space="preserve">This includes investments in bonds and other instruments. </w:t>
      </w:r>
      <w:r w:rsidR="006625C1" w:rsidRPr="002520B6">
        <w:t>The Trustee</w:t>
      </w:r>
      <w:r w:rsidR="00E454D1" w:rsidRPr="002520B6">
        <w:t>s</w:t>
      </w:r>
      <w:r w:rsidR="006625C1" w:rsidRPr="002520B6">
        <w:t xml:space="preserve"> ha</w:t>
      </w:r>
      <w:r w:rsidR="00E454D1" w:rsidRPr="002520B6">
        <w:t>ve</w:t>
      </w:r>
      <w:r w:rsidR="006625C1" w:rsidRPr="002520B6">
        <w:t xml:space="preserve"> approved of th</w:t>
      </w:r>
      <w:r w:rsidR="00DC7AF6" w:rsidRPr="002520B6">
        <w:t>ese</w:t>
      </w:r>
      <w:r w:rsidR="006625C1" w:rsidRPr="002520B6">
        <w:t xml:space="preserve"> conclusion</w:t>
      </w:r>
      <w:r w:rsidR="00DC7AF6" w:rsidRPr="002520B6">
        <w:t>s</w:t>
      </w:r>
      <w:r w:rsidR="005F6973" w:rsidRPr="002520B6">
        <w:t>.</w:t>
      </w:r>
      <w:r w:rsidR="006625C1" w:rsidRPr="002520B6" w:rsidDel="006625C1">
        <w:t xml:space="preserve"> </w:t>
      </w:r>
      <w:bookmarkEnd w:id="3"/>
    </w:p>
    <w:p w14:paraId="70615E69" w14:textId="77777777" w:rsidR="00765C07" w:rsidRPr="002520B6" w:rsidRDefault="00765C07" w:rsidP="006625C1">
      <w:pPr>
        <w:pStyle w:val="Heading3"/>
      </w:pPr>
    </w:p>
    <w:p w14:paraId="4903761E" w14:textId="38C793FF" w:rsidR="00765C07" w:rsidRPr="002520B6" w:rsidRDefault="00765C07" w:rsidP="00D16CD3">
      <w:pPr>
        <w:pStyle w:val="Heading3"/>
      </w:pPr>
      <w:r w:rsidRPr="002520B6">
        <w:br/>
      </w:r>
    </w:p>
    <w:p w14:paraId="5B856664" w14:textId="77777777" w:rsidR="00D16CD3" w:rsidRPr="002520B6" w:rsidRDefault="00D16CD3" w:rsidP="00D16CD3"/>
    <w:p w14:paraId="1D12CE87" w14:textId="77777777" w:rsidR="00F71A15" w:rsidRPr="002520B6" w:rsidRDefault="00F71A15">
      <w:pPr>
        <w:spacing w:after="0"/>
        <w:rPr>
          <w:rFonts w:cs="Arial"/>
          <w:b/>
          <w:bCs/>
          <w:color w:val="004712" w:themeColor="accent1"/>
          <w:sz w:val="24"/>
          <w:szCs w:val="26"/>
        </w:rPr>
      </w:pPr>
      <w:r w:rsidRPr="002520B6">
        <w:br w:type="page"/>
      </w:r>
    </w:p>
    <w:p w14:paraId="02AE8A56" w14:textId="2EBCD3B7" w:rsidR="00B15ECD" w:rsidRPr="002520B6" w:rsidRDefault="00B15ECD" w:rsidP="006625C1">
      <w:pPr>
        <w:pStyle w:val="Heading3"/>
      </w:pPr>
      <w:r w:rsidRPr="002520B6">
        <w:lastRenderedPageBreak/>
        <w:t>Voting statistics</w:t>
      </w:r>
    </w:p>
    <w:p w14:paraId="47FC591F" w14:textId="08E0C93E" w:rsidR="00411B23" w:rsidRPr="002520B6" w:rsidRDefault="00AB6CCB" w:rsidP="00411B23">
      <w:r w:rsidRPr="002520B6">
        <w:t>The table below sets out the key statistics on voting eligibility and action over the year.</w:t>
      </w:r>
    </w:p>
    <w:tbl>
      <w:tblPr>
        <w:tblStyle w:val="QuantumBandedTable"/>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1"/>
        <w:gridCol w:w="3143"/>
        <w:gridCol w:w="3143"/>
      </w:tblGrid>
      <w:tr w:rsidR="00050126" w:rsidRPr="002520B6" w14:paraId="2DC14FF9" w14:textId="4A8E872A" w:rsidTr="00444D5E">
        <w:trPr>
          <w:cnfStyle w:val="100000000000" w:firstRow="1" w:lastRow="0" w:firstColumn="0" w:lastColumn="0" w:oddVBand="0" w:evenVBand="0" w:oddHBand="0" w:evenHBand="0" w:firstRowFirstColumn="0" w:firstRowLastColumn="0" w:lastRowFirstColumn="0" w:lastRowLastColumn="0"/>
          <w:trHeight w:val="495"/>
          <w:jc w:val="center"/>
        </w:trPr>
        <w:tc>
          <w:tcPr>
            <w:tcW w:w="3141" w:type="dxa"/>
            <w:tcBorders>
              <w:top w:val="single" w:sz="4" w:space="0" w:color="auto"/>
              <w:left w:val="single" w:sz="4" w:space="0" w:color="auto"/>
              <w:bottom w:val="single" w:sz="4" w:space="0" w:color="auto"/>
              <w:right w:val="single" w:sz="4" w:space="0" w:color="auto"/>
            </w:tcBorders>
            <w:hideMark/>
          </w:tcPr>
          <w:p w14:paraId="4B8956A7" w14:textId="68458526" w:rsidR="00050126" w:rsidRPr="002520B6" w:rsidRDefault="00050126" w:rsidP="00E03FE0">
            <w:pPr>
              <w:spacing w:after="0"/>
              <w:rPr>
                <w:rFonts w:cs="Calibri"/>
                <w:szCs w:val="22"/>
              </w:rPr>
            </w:pPr>
            <w:r w:rsidRPr="002520B6">
              <w:rPr>
                <w:rFonts w:cs="Calibri"/>
                <w:szCs w:val="22"/>
              </w:rPr>
              <w:t>Statistics</w:t>
            </w:r>
          </w:p>
        </w:tc>
        <w:tc>
          <w:tcPr>
            <w:tcW w:w="3143" w:type="dxa"/>
            <w:tcBorders>
              <w:top w:val="single" w:sz="4" w:space="0" w:color="auto"/>
              <w:left w:val="single" w:sz="4" w:space="0" w:color="auto"/>
              <w:bottom w:val="single" w:sz="4" w:space="0" w:color="auto"/>
              <w:right w:val="single" w:sz="4" w:space="0" w:color="auto"/>
            </w:tcBorders>
          </w:tcPr>
          <w:p w14:paraId="74279663" w14:textId="20100D01" w:rsidR="00050126" w:rsidRPr="002520B6" w:rsidRDefault="00050126" w:rsidP="00E03FE0">
            <w:pPr>
              <w:spacing w:after="0"/>
              <w:jc w:val="center"/>
              <w:rPr>
                <w:rFonts w:cs="Calibri"/>
                <w:szCs w:val="22"/>
              </w:rPr>
            </w:pPr>
            <w:bookmarkStart w:id="4" w:name="_Hlk153360417"/>
            <w:r w:rsidRPr="002520B6">
              <w:rPr>
                <w:rFonts w:cs="Calibri"/>
                <w:szCs w:val="22"/>
              </w:rPr>
              <w:t>BNY Mellon Multi Asset Diversified Return</w:t>
            </w:r>
            <w:bookmarkEnd w:id="4"/>
            <w:r w:rsidRPr="002520B6">
              <w:rPr>
                <w:rFonts w:cs="Calibri"/>
                <w:szCs w:val="22"/>
              </w:rPr>
              <w:t xml:space="preserve"> Fund</w:t>
            </w:r>
          </w:p>
        </w:tc>
        <w:tc>
          <w:tcPr>
            <w:tcW w:w="3143" w:type="dxa"/>
            <w:tcBorders>
              <w:top w:val="single" w:sz="4" w:space="0" w:color="auto"/>
              <w:left w:val="single" w:sz="4" w:space="0" w:color="auto"/>
              <w:bottom w:val="single" w:sz="4" w:space="0" w:color="auto"/>
              <w:right w:val="single" w:sz="4" w:space="0" w:color="auto"/>
            </w:tcBorders>
          </w:tcPr>
          <w:p w14:paraId="719DF22A" w14:textId="0A46BA29" w:rsidR="00050126" w:rsidRPr="002520B6" w:rsidRDefault="00050126" w:rsidP="00E03FE0">
            <w:pPr>
              <w:spacing w:after="0"/>
              <w:jc w:val="center"/>
              <w:rPr>
                <w:rFonts w:cs="Calibri"/>
                <w:szCs w:val="22"/>
              </w:rPr>
            </w:pPr>
            <w:r w:rsidRPr="002520B6">
              <w:rPr>
                <w:szCs w:val="21"/>
              </w:rPr>
              <w:t>Fundsmith Equity Fund</w:t>
            </w:r>
          </w:p>
        </w:tc>
      </w:tr>
      <w:tr w:rsidR="00050126" w:rsidRPr="002520B6" w14:paraId="39B5CC6B" w14:textId="442A4B5C" w:rsidTr="00050126">
        <w:trPr>
          <w:cnfStyle w:val="000000100000" w:firstRow="0" w:lastRow="0" w:firstColumn="0" w:lastColumn="0" w:oddVBand="0" w:evenVBand="0" w:oddHBand="1" w:evenHBand="0" w:firstRowFirstColumn="0" w:firstRowLastColumn="0" w:lastRowFirstColumn="0" w:lastRowLastColumn="0"/>
          <w:trHeight w:val="792"/>
          <w:jc w:val="center"/>
        </w:trPr>
        <w:tc>
          <w:tcPr>
            <w:tcW w:w="3141" w:type="dxa"/>
          </w:tcPr>
          <w:p w14:paraId="12677D6D" w14:textId="680337DF" w:rsidR="00050126" w:rsidRPr="002520B6" w:rsidRDefault="00050126" w:rsidP="00F33D4A">
            <w:pPr>
              <w:spacing w:after="0"/>
              <w:rPr>
                <w:rFonts w:cs="Calibri"/>
                <w:sz w:val="20"/>
                <w:szCs w:val="20"/>
              </w:rPr>
            </w:pPr>
            <w:r w:rsidRPr="002520B6">
              <w:rPr>
                <w:rFonts w:cs="Calibri"/>
                <w:sz w:val="20"/>
                <w:szCs w:val="20"/>
              </w:rPr>
              <w:t>Number of equity holdings</w:t>
            </w:r>
          </w:p>
        </w:tc>
        <w:tc>
          <w:tcPr>
            <w:tcW w:w="3143" w:type="dxa"/>
          </w:tcPr>
          <w:p w14:paraId="627EC8EF" w14:textId="202FC88C" w:rsidR="00050126" w:rsidRPr="00050E5B" w:rsidRDefault="00050126" w:rsidP="00F33D4A">
            <w:pPr>
              <w:spacing w:after="0"/>
              <w:jc w:val="center"/>
              <w:rPr>
                <w:rFonts w:cs="Calibri"/>
                <w:szCs w:val="22"/>
              </w:rPr>
            </w:pPr>
            <w:r w:rsidRPr="00050E5B">
              <w:rPr>
                <w:rFonts w:cs="Calibri"/>
                <w:szCs w:val="22"/>
              </w:rPr>
              <w:t>93</w:t>
            </w:r>
          </w:p>
        </w:tc>
        <w:tc>
          <w:tcPr>
            <w:tcW w:w="3143" w:type="dxa"/>
          </w:tcPr>
          <w:p w14:paraId="34EF5EF4" w14:textId="27823A65" w:rsidR="00050126" w:rsidRPr="00050E5B" w:rsidRDefault="00050126" w:rsidP="00F33D4A">
            <w:pPr>
              <w:spacing w:after="0"/>
              <w:jc w:val="center"/>
              <w:rPr>
                <w:rFonts w:cs="Calibri"/>
                <w:szCs w:val="22"/>
              </w:rPr>
            </w:pPr>
            <w:r w:rsidRPr="00050E5B">
              <w:rPr>
                <w:rFonts w:cs="Calibri"/>
                <w:szCs w:val="22"/>
              </w:rPr>
              <w:t>2</w:t>
            </w:r>
            <w:r w:rsidR="003F7900" w:rsidRPr="00050E5B">
              <w:rPr>
                <w:rFonts w:cs="Calibri"/>
                <w:szCs w:val="22"/>
              </w:rPr>
              <w:t>8</w:t>
            </w:r>
          </w:p>
        </w:tc>
      </w:tr>
      <w:tr w:rsidR="00050126" w:rsidRPr="002520B6" w14:paraId="770A4615" w14:textId="1A5F0377" w:rsidTr="00050126">
        <w:trPr>
          <w:cnfStyle w:val="000000010000" w:firstRow="0" w:lastRow="0" w:firstColumn="0" w:lastColumn="0" w:oddVBand="0" w:evenVBand="0" w:oddHBand="0" w:evenHBand="1" w:firstRowFirstColumn="0" w:firstRowLastColumn="0" w:lastRowFirstColumn="0" w:lastRowLastColumn="0"/>
          <w:trHeight w:val="792"/>
          <w:jc w:val="center"/>
        </w:trPr>
        <w:tc>
          <w:tcPr>
            <w:tcW w:w="3141" w:type="dxa"/>
            <w:hideMark/>
          </w:tcPr>
          <w:p w14:paraId="6C25CE9C" w14:textId="6D467394" w:rsidR="00050126" w:rsidRPr="002520B6" w:rsidRDefault="00050126" w:rsidP="00F33D4A">
            <w:pPr>
              <w:spacing w:after="0"/>
              <w:rPr>
                <w:rFonts w:cs="Calibri"/>
                <w:sz w:val="20"/>
                <w:szCs w:val="20"/>
              </w:rPr>
            </w:pPr>
            <w:r w:rsidRPr="002520B6">
              <w:rPr>
                <w:rFonts w:cs="Calibri"/>
                <w:sz w:val="20"/>
                <w:szCs w:val="20"/>
              </w:rPr>
              <w:t>Meetings eligible to vote at</w:t>
            </w:r>
          </w:p>
        </w:tc>
        <w:tc>
          <w:tcPr>
            <w:tcW w:w="3143" w:type="dxa"/>
          </w:tcPr>
          <w:p w14:paraId="5DBB5720" w14:textId="1C31C5B4" w:rsidR="00050126" w:rsidRPr="00050E5B" w:rsidRDefault="00050126" w:rsidP="00F33D4A">
            <w:pPr>
              <w:spacing w:after="0"/>
              <w:jc w:val="center"/>
              <w:rPr>
                <w:rFonts w:cs="Calibri"/>
                <w:szCs w:val="22"/>
              </w:rPr>
            </w:pPr>
            <w:r w:rsidRPr="00050E5B">
              <w:rPr>
                <w:rFonts w:cs="Calibri"/>
                <w:szCs w:val="22"/>
              </w:rPr>
              <w:t>1</w:t>
            </w:r>
            <w:r w:rsidR="003F7900" w:rsidRPr="00050E5B">
              <w:rPr>
                <w:rFonts w:cs="Calibri"/>
                <w:szCs w:val="22"/>
              </w:rPr>
              <w:t>16</w:t>
            </w:r>
          </w:p>
        </w:tc>
        <w:tc>
          <w:tcPr>
            <w:tcW w:w="3143" w:type="dxa"/>
          </w:tcPr>
          <w:p w14:paraId="2BC1EF45" w14:textId="0AA8B5E3" w:rsidR="00050126" w:rsidRPr="00050E5B" w:rsidRDefault="00050126" w:rsidP="00F33D4A">
            <w:pPr>
              <w:spacing w:after="0"/>
              <w:jc w:val="center"/>
              <w:rPr>
                <w:rFonts w:cs="Calibri"/>
                <w:szCs w:val="22"/>
              </w:rPr>
            </w:pPr>
            <w:r w:rsidRPr="00050E5B">
              <w:rPr>
                <w:rFonts w:cs="Calibri"/>
                <w:szCs w:val="22"/>
              </w:rPr>
              <w:t>2</w:t>
            </w:r>
            <w:r w:rsidR="003F7900" w:rsidRPr="00050E5B">
              <w:rPr>
                <w:rFonts w:cs="Calibri"/>
                <w:szCs w:val="22"/>
              </w:rPr>
              <w:t>4</w:t>
            </w:r>
          </w:p>
        </w:tc>
      </w:tr>
      <w:tr w:rsidR="00050126" w:rsidRPr="002520B6" w14:paraId="284AAC55" w14:textId="152B69D3" w:rsidTr="00050126">
        <w:trPr>
          <w:cnfStyle w:val="000000100000" w:firstRow="0" w:lastRow="0" w:firstColumn="0" w:lastColumn="0" w:oddVBand="0" w:evenVBand="0" w:oddHBand="1" w:evenHBand="0" w:firstRowFirstColumn="0" w:firstRowLastColumn="0" w:lastRowFirstColumn="0" w:lastRowLastColumn="0"/>
          <w:trHeight w:val="792"/>
          <w:jc w:val="center"/>
        </w:trPr>
        <w:tc>
          <w:tcPr>
            <w:tcW w:w="3141" w:type="dxa"/>
            <w:hideMark/>
          </w:tcPr>
          <w:p w14:paraId="602F88AA" w14:textId="4A9F8E1F" w:rsidR="00050126" w:rsidRPr="002520B6" w:rsidRDefault="00050126" w:rsidP="00F33D4A">
            <w:pPr>
              <w:spacing w:after="0"/>
              <w:rPr>
                <w:rFonts w:cs="Calibri"/>
                <w:sz w:val="20"/>
                <w:szCs w:val="20"/>
              </w:rPr>
            </w:pPr>
            <w:r w:rsidRPr="002520B6">
              <w:rPr>
                <w:rFonts w:cs="Calibri"/>
                <w:sz w:val="20"/>
                <w:szCs w:val="20"/>
              </w:rPr>
              <w:t>Resolutions eligible to vote on</w:t>
            </w:r>
          </w:p>
        </w:tc>
        <w:tc>
          <w:tcPr>
            <w:tcW w:w="3143" w:type="dxa"/>
          </w:tcPr>
          <w:p w14:paraId="4148FE25" w14:textId="3EE55D2D" w:rsidR="00050126" w:rsidRPr="00050E5B" w:rsidRDefault="00050126" w:rsidP="00F33D4A">
            <w:pPr>
              <w:spacing w:after="0"/>
              <w:jc w:val="center"/>
              <w:rPr>
                <w:rFonts w:cs="Calibri"/>
                <w:szCs w:val="22"/>
              </w:rPr>
            </w:pPr>
            <w:r w:rsidRPr="00050E5B">
              <w:rPr>
                <w:rFonts w:cs="Calibri"/>
                <w:szCs w:val="22"/>
              </w:rPr>
              <w:t>1,</w:t>
            </w:r>
            <w:r w:rsidR="003F7900" w:rsidRPr="00050E5B">
              <w:rPr>
                <w:rFonts w:cs="Calibri"/>
                <w:szCs w:val="22"/>
              </w:rPr>
              <w:t>612</w:t>
            </w:r>
          </w:p>
        </w:tc>
        <w:tc>
          <w:tcPr>
            <w:tcW w:w="3143" w:type="dxa"/>
          </w:tcPr>
          <w:p w14:paraId="3B546565" w14:textId="7D74692B" w:rsidR="00050126" w:rsidRPr="00050E5B" w:rsidRDefault="00050126" w:rsidP="00F33D4A">
            <w:pPr>
              <w:spacing w:after="0"/>
              <w:jc w:val="center"/>
              <w:rPr>
                <w:rFonts w:cs="Calibri"/>
                <w:szCs w:val="22"/>
              </w:rPr>
            </w:pPr>
            <w:r w:rsidRPr="00050E5B">
              <w:rPr>
                <w:rFonts w:cs="Calibri"/>
                <w:szCs w:val="22"/>
              </w:rPr>
              <w:t>4</w:t>
            </w:r>
            <w:r w:rsidR="003F7900" w:rsidRPr="00050E5B">
              <w:rPr>
                <w:rFonts w:cs="Calibri"/>
                <w:szCs w:val="22"/>
              </w:rPr>
              <w:t>27</w:t>
            </w:r>
          </w:p>
        </w:tc>
      </w:tr>
      <w:tr w:rsidR="00050126" w:rsidRPr="002520B6" w14:paraId="39FFE3A5" w14:textId="11FA72C4" w:rsidTr="00050126">
        <w:trPr>
          <w:cnfStyle w:val="000000010000" w:firstRow="0" w:lastRow="0" w:firstColumn="0" w:lastColumn="0" w:oddVBand="0" w:evenVBand="0" w:oddHBand="0" w:evenHBand="1" w:firstRowFirstColumn="0" w:firstRowLastColumn="0" w:lastRowFirstColumn="0" w:lastRowLastColumn="0"/>
          <w:trHeight w:val="792"/>
          <w:jc w:val="center"/>
        </w:trPr>
        <w:tc>
          <w:tcPr>
            <w:tcW w:w="3141" w:type="dxa"/>
            <w:hideMark/>
          </w:tcPr>
          <w:p w14:paraId="53C1F904" w14:textId="5DE0FDEF" w:rsidR="00050126" w:rsidRPr="002520B6" w:rsidRDefault="00050126" w:rsidP="00DC6719">
            <w:pPr>
              <w:spacing w:after="0"/>
              <w:rPr>
                <w:rFonts w:cs="Calibri"/>
                <w:sz w:val="20"/>
                <w:szCs w:val="20"/>
              </w:rPr>
            </w:pPr>
            <w:r w:rsidRPr="002520B6">
              <w:rPr>
                <w:rFonts w:cs="Calibri"/>
                <w:sz w:val="20"/>
                <w:szCs w:val="20"/>
              </w:rPr>
              <w:t>Proportion of eligible resolutions voted on (%)</w:t>
            </w:r>
          </w:p>
        </w:tc>
        <w:tc>
          <w:tcPr>
            <w:tcW w:w="3143" w:type="dxa"/>
          </w:tcPr>
          <w:p w14:paraId="2FF736D9" w14:textId="2069E21F" w:rsidR="00050126" w:rsidRPr="00050E5B" w:rsidRDefault="003F7900" w:rsidP="00DC6719">
            <w:pPr>
              <w:spacing w:after="0"/>
              <w:jc w:val="center"/>
              <w:rPr>
                <w:rFonts w:cs="Calibri"/>
                <w:szCs w:val="22"/>
              </w:rPr>
            </w:pPr>
            <w:r w:rsidRPr="00050E5B">
              <w:rPr>
                <w:rFonts w:cs="Calibri"/>
                <w:szCs w:val="22"/>
              </w:rPr>
              <w:t>100</w:t>
            </w:r>
          </w:p>
        </w:tc>
        <w:tc>
          <w:tcPr>
            <w:tcW w:w="3143" w:type="dxa"/>
          </w:tcPr>
          <w:p w14:paraId="5C3458CF" w14:textId="62C1403F" w:rsidR="00050126" w:rsidRPr="00050E5B" w:rsidRDefault="00050126" w:rsidP="00DC6719">
            <w:pPr>
              <w:spacing w:after="0"/>
              <w:jc w:val="center"/>
              <w:rPr>
                <w:rFonts w:cs="Calibri"/>
                <w:szCs w:val="22"/>
              </w:rPr>
            </w:pPr>
            <w:r w:rsidRPr="00050E5B">
              <w:rPr>
                <w:rFonts w:cs="Calibri"/>
                <w:szCs w:val="22"/>
              </w:rPr>
              <w:t>100</w:t>
            </w:r>
          </w:p>
        </w:tc>
      </w:tr>
      <w:tr w:rsidR="00050126" w:rsidRPr="002520B6" w14:paraId="5EA1CDE0" w14:textId="4A8429E6" w:rsidTr="00050126">
        <w:trPr>
          <w:cnfStyle w:val="000000100000" w:firstRow="0" w:lastRow="0" w:firstColumn="0" w:lastColumn="0" w:oddVBand="0" w:evenVBand="0" w:oddHBand="1" w:evenHBand="0" w:firstRowFirstColumn="0" w:firstRowLastColumn="0" w:lastRowFirstColumn="0" w:lastRowLastColumn="0"/>
          <w:trHeight w:val="792"/>
          <w:jc w:val="center"/>
        </w:trPr>
        <w:tc>
          <w:tcPr>
            <w:tcW w:w="3141" w:type="dxa"/>
            <w:hideMark/>
          </w:tcPr>
          <w:p w14:paraId="28CD0F5A" w14:textId="4D39DBFC" w:rsidR="00050126" w:rsidRPr="002520B6" w:rsidRDefault="00050126" w:rsidP="00DC6719">
            <w:pPr>
              <w:spacing w:after="0"/>
              <w:rPr>
                <w:rFonts w:cs="Calibri"/>
                <w:sz w:val="20"/>
                <w:szCs w:val="20"/>
              </w:rPr>
            </w:pPr>
            <w:r w:rsidRPr="002520B6">
              <w:rPr>
                <w:rFonts w:cs="Calibri"/>
                <w:sz w:val="20"/>
                <w:szCs w:val="20"/>
              </w:rPr>
              <w:t>Votes with management (%)</w:t>
            </w:r>
          </w:p>
        </w:tc>
        <w:tc>
          <w:tcPr>
            <w:tcW w:w="3143" w:type="dxa"/>
          </w:tcPr>
          <w:p w14:paraId="79C6E73B" w14:textId="467CCC73" w:rsidR="00050126" w:rsidRPr="00050E5B" w:rsidRDefault="00050126" w:rsidP="00DC6719">
            <w:pPr>
              <w:spacing w:after="0"/>
              <w:jc w:val="center"/>
              <w:rPr>
                <w:rFonts w:cs="Calibri"/>
                <w:szCs w:val="22"/>
              </w:rPr>
            </w:pPr>
            <w:r w:rsidRPr="00050E5B">
              <w:rPr>
                <w:rFonts w:cs="Calibri"/>
                <w:szCs w:val="22"/>
              </w:rPr>
              <w:t>9</w:t>
            </w:r>
            <w:r w:rsidR="001E44EC">
              <w:rPr>
                <w:rFonts w:cs="Calibri"/>
                <w:szCs w:val="22"/>
              </w:rPr>
              <w:t>6</w:t>
            </w:r>
          </w:p>
        </w:tc>
        <w:tc>
          <w:tcPr>
            <w:tcW w:w="3143" w:type="dxa"/>
          </w:tcPr>
          <w:p w14:paraId="2F0F8D78" w14:textId="1EF07754" w:rsidR="00050126" w:rsidRPr="00050E5B" w:rsidRDefault="00050126" w:rsidP="00DC6719">
            <w:pPr>
              <w:spacing w:after="0"/>
              <w:jc w:val="center"/>
              <w:rPr>
                <w:rFonts w:cs="Calibri"/>
                <w:szCs w:val="22"/>
              </w:rPr>
            </w:pPr>
            <w:r w:rsidRPr="00050E5B">
              <w:rPr>
                <w:rFonts w:cs="Calibri"/>
                <w:szCs w:val="22"/>
              </w:rPr>
              <w:t>9</w:t>
            </w:r>
            <w:r w:rsidR="003F7900" w:rsidRPr="00050E5B">
              <w:rPr>
                <w:rFonts w:cs="Calibri"/>
                <w:szCs w:val="22"/>
              </w:rPr>
              <w:t>1</w:t>
            </w:r>
          </w:p>
        </w:tc>
      </w:tr>
      <w:tr w:rsidR="00050126" w:rsidRPr="002520B6" w14:paraId="4B1E5AB1" w14:textId="2D6F85F3" w:rsidTr="00050126">
        <w:trPr>
          <w:cnfStyle w:val="000000010000" w:firstRow="0" w:lastRow="0" w:firstColumn="0" w:lastColumn="0" w:oddVBand="0" w:evenVBand="0" w:oddHBand="0" w:evenHBand="1" w:firstRowFirstColumn="0" w:firstRowLastColumn="0" w:lastRowFirstColumn="0" w:lastRowLastColumn="0"/>
          <w:trHeight w:val="792"/>
          <w:jc w:val="center"/>
        </w:trPr>
        <w:tc>
          <w:tcPr>
            <w:tcW w:w="3141" w:type="dxa"/>
            <w:hideMark/>
          </w:tcPr>
          <w:p w14:paraId="0063E591" w14:textId="3C8CD349" w:rsidR="00050126" w:rsidRPr="002520B6" w:rsidRDefault="00050126" w:rsidP="00DC6719">
            <w:pPr>
              <w:spacing w:after="0"/>
              <w:rPr>
                <w:rFonts w:cs="Calibri"/>
                <w:sz w:val="20"/>
                <w:szCs w:val="20"/>
              </w:rPr>
            </w:pPr>
            <w:r w:rsidRPr="002520B6">
              <w:rPr>
                <w:rFonts w:cs="Calibri"/>
                <w:sz w:val="20"/>
                <w:szCs w:val="20"/>
              </w:rPr>
              <w:t>Votes against management (%)</w:t>
            </w:r>
          </w:p>
        </w:tc>
        <w:tc>
          <w:tcPr>
            <w:tcW w:w="3143" w:type="dxa"/>
          </w:tcPr>
          <w:p w14:paraId="7CBBC916" w14:textId="4F9EFDB5" w:rsidR="00050126" w:rsidRPr="00050E5B" w:rsidRDefault="003F7900" w:rsidP="00DC6719">
            <w:pPr>
              <w:spacing w:after="0"/>
              <w:jc w:val="center"/>
              <w:rPr>
                <w:rFonts w:cs="Calibri"/>
                <w:szCs w:val="22"/>
              </w:rPr>
            </w:pPr>
            <w:r w:rsidRPr="00050E5B">
              <w:rPr>
                <w:rFonts w:cs="Calibri"/>
                <w:szCs w:val="22"/>
              </w:rPr>
              <w:t>5</w:t>
            </w:r>
          </w:p>
        </w:tc>
        <w:tc>
          <w:tcPr>
            <w:tcW w:w="3143" w:type="dxa"/>
          </w:tcPr>
          <w:p w14:paraId="29FB6CF9" w14:textId="5098CDAB" w:rsidR="00050126" w:rsidRPr="00050E5B" w:rsidRDefault="003F7900" w:rsidP="00DC6719">
            <w:pPr>
              <w:spacing w:after="0"/>
              <w:jc w:val="center"/>
              <w:rPr>
                <w:rFonts w:cs="Calibri"/>
                <w:szCs w:val="22"/>
              </w:rPr>
            </w:pPr>
            <w:r w:rsidRPr="00050E5B">
              <w:rPr>
                <w:rFonts w:cs="Calibri"/>
                <w:szCs w:val="22"/>
              </w:rPr>
              <w:t>9</w:t>
            </w:r>
          </w:p>
        </w:tc>
      </w:tr>
      <w:tr w:rsidR="00050126" w:rsidRPr="002520B6" w14:paraId="4241BCCB" w14:textId="06F2470B" w:rsidTr="00050126">
        <w:trPr>
          <w:cnfStyle w:val="000000100000" w:firstRow="0" w:lastRow="0" w:firstColumn="0" w:lastColumn="0" w:oddVBand="0" w:evenVBand="0" w:oddHBand="1" w:evenHBand="0" w:firstRowFirstColumn="0" w:firstRowLastColumn="0" w:lastRowFirstColumn="0" w:lastRowLastColumn="0"/>
          <w:trHeight w:val="792"/>
          <w:jc w:val="center"/>
        </w:trPr>
        <w:tc>
          <w:tcPr>
            <w:tcW w:w="3141" w:type="dxa"/>
            <w:hideMark/>
          </w:tcPr>
          <w:p w14:paraId="668A1489" w14:textId="69FF88FF" w:rsidR="00050126" w:rsidRPr="002520B6" w:rsidRDefault="00050126" w:rsidP="00DC6719">
            <w:pPr>
              <w:spacing w:after="0"/>
              <w:rPr>
                <w:rFonts w:cs="Calibri"/>
                <w:sz w:val="20"/>
                <w:szCs w:val="20"/>
              </w:rPr>
            </w:pPr>
            <w:r w:rsidRPr="002520B6">
              <w:rPr>
                <w:rFonts w:cs="Calibri"/>
                <w:sz w:val="20"/>
                <w:szCs w:val="20"/>
              </w:rPr>
              <w:t>Votes abstained from (%)</w:t>
            </w:r>
          </w:p>
        </w:tc>
        <w:tc>
          <w:tcPr>
            <w:tcW w:w="3143" w:type="dxa"/>
          </w:tcPr>
          <w:p w14:paraId="4D4A9BA4" w14:textId="4E00A31A" w:rsidR="00050126" w:rsidRPr="00050E5B" w:rsidRDefault="00050126" w:rsidP="00DC6719">
            <w:pPr>
              <w:spacing w:after="0"/>
              <w:jc w:val="center"/>
              <w:rPr>
                <w:rFonts w:cs="Calibri"/>
                <w:szCs w:val="22"/>
              </w:rPr>
            </w:pPr>
            <w:r w:rsidRPr="00050E5B">
              <w:rPr>
                <w:rFonts w:cs="Calibri"/>
                <w:szCs w:val="22"/>
              </w:rPr>
              <w:t>0</w:t>
            </w:r>
          </w:p>
        </w:tc>
        <w:tc>
          <w:tcPr>
            <w:tcW w:w="3143" w:type="dxa"/>
          </w:tcPr>
          <w:p w14:paraId="14951E1C" w14:textId="2AFF6356" w:rsidR="00050126" w:rsidRPr="00050E5B" w:rsidRDefault="00050126" w:rsidP="00DC6719">
            <w:pPr>
              <w:spacing w:after="0"/>
              <w:jc w:val="center"/>
              <w:rPr>
                <w:rFonts w:cs="Calibri"/>
                <w:szCs w:val="22"/>
              </w:rPr>
            </w:pPr>
            <w:r w:rsidRPr="00050E5B">
              <w:rPr>
                <w:rFonts w:cs="Calibri"/>
                <w:szCs w:val="22"/>
              </w:rPr>
              <w:t>0</w:t>
            </w:r>
          </w:p>
        </w:tc>
      </w:tr>
      <w:tr w:rsidR="00050126" w:rsidRPr="002520B6" w14:paraId="16D823A4" w14:textId="5B279387" w:rsidTr="00050126">
        <w:trPr>
          <w:cnfStyle w:val="000000010000" w:firstRow="0" w:lastRow="0" w:firstColumn="0" w:lastColumn="0" w:oddVBand="0" w:evenVBand="0" w:oddHBand="0" w:evenHBand="1" w:firstRowFirstColumn="0" w:firstRowLastColumn="0" w:lastRowFirstColumn="0" w:lastRowLastColumn="0"/>
          <w:trHeight w:val="792"/>
          <w:jc w:val="center"/>
        </w:trPr>
        <w:tc>
          <w:tcPr>
            <w:tcW w:w="3141" w:type="dxa"/>
            <w:hideMark/>
          </w:tcPr>
          <w:p w14:paraId="6EF485E5" w14:textId="6E572C70" w:rsidR="00050126" w:rsidRPr="002520B6" w:rsidRDefault="00050126" w:rsidP="00DC6719">
            <w:pPr>
              <w:spacing w:after="0"/>
              <w:rPr>
                <w:rFonts w:cs="Calibri"/>
                <w:sz w:val="20"/>
                <w:szCs w:val="20"/>
              </w:rPr>
            </w:pPr>
            <w:bookmarkStart w:id="5" w:name="_Hlk53736851"/>
            <w:r w:rsidRPr="002520B6">
              <w:rPr>
                <w:rFonts w:cs="Calibri"/>
                <w:sz w:val="20"/>
                <w:szCs w:val="20"/>
              </w:rPr>
              <w:t>Meetings where at least one vote was against management (%)</w:t>
            </w:r>
          </w:p>
        </w:tc>
        <w:tc>
          <w:tcPr>
            <w:tcW w:w="3143" w:type="dxa"/>
          </w:tcPr>
          <w:p w14:paraId="5D5812DA" w14:textId="77136325" w:rsidR="00050126" w:rsidRPr="00050E5B" w:rsidRDefault="003F7900" w:rsidP="00DC6719">
            <w:pPr>
              <w:spacing w:after="0"/>
              <w:jc w:val="center"/>
              <w:rPr>
                <w:rFonts w:cs="Calibri"/>
                <w:szCs w:val="22"/>
              </w:rPr>
            </w:pPr>
            <w:r w:rsidRPr="00050E5B">
              <w:rPr>
                <w:rFonts w:cs="Calibri"/>
                <w:szCs w:val="22"/>
              </w:rPr>
              <w:t>27</w:t>
            </w:r>
          </w:p>
        </w:tc>
        <w:tc>
          <w:tcPr>
            <w:tcW w:w="3143" w:type="dxa"/>
          </w:tcPr>
          <w:p w14:paraId="176CCF5B" w14:textId="217C562B" w:rsidR="00050126" w:rsidRPr="00050E5B" w:rsidRDefault="003F7900" w:rsidP="00DC6719">
            <w:pPr>
              <w:spacing w:after="0"/>
              <w:jc w:val="center"/>
              <w:rPr>
                <w:rFonts w:cs="Calibri"/>
                <w:szCs w:val="22"/>
              </w:rPr>
            </w:pPr>
            <w:r w:rsidRPr="00050E5B">
              <w:rPr>
                <w:rFonts w:cs="Calibri"/>
                <w:szCs w:val="22"/>
              </w:rPr>
              <w:t>79</w:t>
            </w:r>
          </w:p>
        </w:tc>
      </w:tr>
      <w:bookmarkEnd w:id="5"/>
      <w:tr w:rsidR="00050126" w:rsidRPr="002520B6" w14:paraId="112C8E86" w14:textId="5506A74F" w:rsidTr="00050126">
        <w:trPr>
          <w:cnfStyle w:val="000000100000" w:firstRow="0" w:lastRow="0" w:firstColumn="0" w:lastColumn="0" w:oddVBand="0" w:evenVBand="0" w:oddHBand="1" w:evenHBand="0" w:firstRowFirstColumn="0" w:firstRowLastColumn="0" w:lastRowFirstColumn="0" w:lastRowLastColumn="0"/>
          <w:trHeight w:val="792"/>
          <w:jc w:val="center"/>
        </w:trPr>
        <w:tc>
          <w:tcPr>
            <w:tcW w:w="3141" w:type="dxa"/>
            <w:hideMark/>
          </w:tcPr>
          <w:p w14:paraId="7CDC1A60" w14:textId="32FFEC2E" w:rsidR="00050126" w:rsidRPr="002520B6" w:rsidRDefault="00050126" w:rsidP="00DC6719">
            <w:pPr>
              <w:spacing w:after="0"/>
              <w:rPr>
                <w:rFonts w:cs="Calibri"/>
                <w:sz w:val="20"/>
                <w:szCs w:val="20"/>
              </w:rPr>
            </w:pPr>
            <w:r w:rsidRPr="002520B6">
              <w:rPr>
                <w:rFonts w:cs="Calibri"/>
                <w:sz w:val="20"/>
                <w:szCs w:val="20"/>
              </w:rPr>
              <w:t>Votes contrary to the recommendation of the proxy adviser (%)</w:t>
            </w:r>
          </w:p>
        </w:tc>
        <w:tc>
          <w:tcPr>
            <w:tcW w:w="3143" w:type="dxa"/>
          </w:tcPr>
          <w:p w14:paraId="6F89B689" w14:textId="0F5691BB" w:rsidR="00050126" w:rsidRPr="00050E5B" w:rsidRDefault="003F7900" w:rsidP="00DC6719">
            <w:pPr>
              <w:spacing w:after="0"/>
              <w:jc w:val="center"/>
              <w:rPr>
                <w:rFonts w:cs="Calibri"/>
                <w:szCs w:val="22"/>
              </w:rPr>
            </w:pPr>
            <w:r w:rsidRPr="00050E5B">
              <w:rPr>
                <w:rFonts w:cs="Calibri"/>
                <w:szCs w:val="22"/>
              </w:rPr>
              <w:t>3</w:t>
            </w:r>
          </w:p>
        </w:tc>
        <w:tc>
          <w:tcPr>
            <w:tcW w:w="3143" w:type="dxa"/>
          </w:tcPr>
          <w:p w14:paraId="070E5A91" w14:textId="4EA65F0B" w:rsidR="00050126" w:rsidRPr="00444D5E" w:rsidRDefault="00050126" w:rsidP="00DC6719">
            <w:pPr>
              <w:spacing w:after="0"/>
              <w:jc w:val="center"/>
              <w:rPr>
                <w:rFonts w:cs="Calibri"/>
                <w:szCs w:val="22"/>
                <w:vertAlign w:val="superscript"/>
              </w:rPr>
            </w:pPr>
            <w:r w:rsidRPr="00050E5B">
              <w:rPr>
                <w:rFonts w:cs="Calibri"/>
                <w:szCs w:val="22"/>
              </w:rPr>
              <w:t>N/A</w:t>
            </w:r>
            <w:r w:rsidR="00444D5E">
              <w:rPr>
                <w:rFonts w:cs="Calibri"/>
                <w:szCs w:val="22"/>
                <w:vertAlign w:val="superscript"/>
              </w:rPr>
              <w:t>1</w:t>
            </w:r>
          </w:p>
        </w:tc>
      </w:tr>
    </w:tbl>
    <w:p w14:paraId="3A50CDDB" w14:textId="2AAEE6D6" w:rsidR="00F663D4" w:rsidRPr="00444D5E" w:rsidRDefault="00434B1F" w:rsidP="00671395">
      <w:pPr>
        <w:rPr>
          <w:sz w:val="18"/>
        </w:rPr>
      </w:pPr>
      <w:bookmarkStart w:id="6" w:name="_Hlk52281033"/>
      <w:r w:rsidRPr="002520B6">
        <w:rPr>
          <w:sz w:val="18"/>
        </w:rPr>
        <w:t xml:space="preserve">Source: </w:t>
      </w:r>
      <w:r w:rsidR="00F71A15" w:rsidRPr="002520B6">
        <w:rPr>
          <w:sz w:val="18"/>
        </w:rPr>
        <w:t>BNY Mellon/Newton</w:t>
      </w:r>
      <w:r w:rsidR="000014F6">
        <w:rPr>
          <w:sz w:val="18"/>
        </w:rPr>
        <w:t xml:space="preserve"> and</w:t>
      </w:r>
      <w:r w:rsidR="00F71A15" w:rsidRPr="002520B6">
        <w:rPr>
          <w:sz w:val="18"/>
        </w:rPr>
        <w:t xml:space="preserve"> Fundsmith</w:t>
      </w:r>
      <w:r w:rsidR="00F663D4" w:rsidRPr="002520B6">
        <w:rPr>
          <w:sz w:val="18"/>
        </w:rPr>
        <w:t>.</w:t>
      </w:r>
      <w:r w:rsidR="00E14EFE" w:rsidRPr="002520B6">
        <w:t xml:space="preserve"> </w:t>
      </w:r>
      <w:r w:rsidR="00E14EFE" w:rsidRPr="002520B6">
        <w:rPr>
          <w:sz w:val="18"/>
        </w:rPr>
        <w:t>Note: Totals may not sum due to rounding.</w:t>
      </w:r>
      <w:r w:rsidR="000875B4" w:rsidRPr="002520B6">
        <w:rPr>
          <w:sz w:val="18"/>
        </w:rPr>
        <w:t xml:space="preserve"> </w:t>
      </w:r>
      <w:r w:rsidR="00444D5E">
        <w:rPr>
          <w:sz w:val="18"/>
        </w:rPr>
        <w:br/>
      </w:r>
      <w:r w:rsidR="00444D5E">
        <w:rPr>
          <w:sz w:val="18"/>
          <w:vertAlign w:val="superscript"/>
        </w:rPr>
        <w:t xml:space="preserve">1 </w:t>
      </w:r>
      <w:r w:rsidR="00444D5E">
        <w:rPr>
          <w:sz w:val="18"/>
        </w:rPr>
        <w:t xml:space="preserve">Fundsmith do not use proxy adviser recommendations. </w:t>
      </w:r>
    </w:p>
    <w:p w14:paraId="644C70CD" w14:textId="2B3F5939" w:rsidR="006625C1" w:rsidRPr="002520B6" w:rsidRDefault="006625C1" w:rsidP="006625C1">
      <w:pPr>
        <w:spacing w:after="0"/>
      </w:pPr>
      <w:r w:rsidRPr="002520B6">
        <w:t>Quantum Advisory has noted that,</w:t>
      </w:r>
      <w:r w:rsidR="00F713FB" w:rsidRPr="00F713FB">
        <w:t xml:space="preserve"> </w:t>
      </w:r>
      <w:r w:rsidR="00F713FB">
        <w:t>t</w:t>
      </w:r>
      <w:r w:rsidR="00F713FB" w:rsidRPr="00F713FB">
        <w:t>he manager will continue to support such measures at future AGMs</w:t>
      </w:r>
      <w:r w:rsidR="00F713FB">
        <w:t>.</w:t>
      </w:r>
      <w:r w:rsidRPr="002520B6">
        <w:t xml:space="preserve"> </w:t>
      </w:r>
      <w:r w:rsidR="00F713FB">
        <w:t>A</w:t>
      </w:r>
      <w:r w:rsidRPr="002520B6">
        <w:t>s a whole, the voting activity meets expectations and Trustee</w:t>
      </w:r>
      <w:r w:rsidR="005C5800" w:rsidRPr="002520B6">
        <w:t>s are</w:t>
      </w:r>
      <w:r w:rsidRPr="002520B6">
        <w:t xml:space="preserve"> satisfied with the voting activity that has been undertaken within the invested funds during the </w:t>
      </w:r>
      <w:r w:rsidR="009A1196" w:rsidRPr="002520B6">
        <w:t>Fund</w:t>
      </w:r>
      <w:r w:rsidRPr="002520B6">
        <w:t xml:space="preserve"> year. </w:t>
      </w:r>
    </w:p>
    <w:p w14:paraId="244FC1DE" w14:textId="77777777" w:rsidR="00A3430D" w:rsidRPr="002520B6" w:rsidRDefault="00A3430D" w:rsidP="00A3430D">
      <w:pPr>
        <w:spacing w:after="0"/>
      </w:pPr>
    </w:p>
    <w:bookmarkEnd w:id="6"/>
    <w:p w14:paraId="626A9315" w14:textId="77777777" w:rsidR="00A3430D" w:rsidRPr="002520B6" w:rsidRDefault="00A3430D" w:rsidP="00A3430D">
      <w:pPr>
        <w:keepNext/>
        <w:spacing w:before="240" w:after="20"/>
        <w:contextualSpacing/>
        <w:outlineLvl w:val="2"/>
        <w:rPr>
          <w:rFonts w:cs="Arial"/>
          <w:b/>
          <w:bCs/>
          <w:color w:val="004712" w:themeColor="accent1"/>
          <w:sz w:val="24"/>
          <w:szCs w:val="26"/>
        </w:rPr>
      </w:pPr>
      <w:r w:rsidRPr="002520B6">
        <w:rPr>
          <w:rFonts w:cs="Arial"/>
          <w:b/>
          <w:bCs/>
          <w:color w:val="004712" w:themeColor="accent1"/>
          <w:sz w:val="24"/>
          <w:szCs w:val="26"/>
        </w:rPr>
        <w:t>Significant votes over the reporting year</w:t>
      </w:r>
    </w:p>
    <w:p w14:paraId="292D73FD" w14:textId="77777777" w:rsidR="00E8696F" w:rsidRPr="002520B6" w:rsidRDefault="00EB2D58" w:rsidP="00EB2D58">
      <w:pPr>
        <w:rPr>
          <w:rFonts w:asciiTheme="minorHAnsi" w:hAnsiTheme="minorHAnsi" w:cstheme="minorHAnsi"/>
          <w:szCs w:val="22"/>
        </w:rPr>
      </w:pPr>
      <w:bookmarkStart w:id="7" w:name="_Hlk141191774"/>
      <w:r w:rsidRPr="002520B6">
        <w:rPr>
          <w:rFonts w:asciiTheme="minorHAnsi" w:hAnsiTheme="minorHAnsi" w:cstheme="minorHAnsi"/>
          <w:szCs w:val="22"/>
        </w:rPr>
        <w:t>Quantum Advisory ha</w:t>
      </w:r>
      <w:r w:rsidR="005C5800" w:rsidRPr="002520B6">
        <w:rPr>
          <w:rFonts w:asciiTheme="minorHAnsi" w:hAnsiTheme="minorHAnsi" w:cstheme="minorHAnsi"/>
          <w:szCs w:val="22"/>
        </w:rPr>
        <w:t>ve</w:t>
      </w:r>
      <w:r w:rsidRPr="002520B6">
        <w:rPr>
          <w:rFonts w:asciiTheme="minorHAnsi" w:hAnsiTheme="minorHAnsi" w:cstheme="minorHAnsi"/>
          <w:szCs w:val="22"/>
        </w:rPr>
        <w:t xml:space="preserve"> reviewed the most significant votes cast by the investment managers on behalf of the Trustees</w:t>
      </w:r>
      <w:r w:rsidR="00494EE0" w:rsidRPr="002520B6">
        <w:rPr>
          <w:rFonts w:asciiTheme="minorHAnsi" w:hAnsiTheme="minorHAnsi" w:cstheme="minorHAnsi"/>
          <w:szCs w:val="22"/>
        </w:rPr>
        <w:t xml:space="preserve"> and, as a whole, are satisfied that these </w:t>
      </w:r>
      <w:r w:rsidR="005C5800" w:rsidRPr="002520B6">
        <w:rPr>
          <w:rFonts w:asciiTheme="minorHAnsi" w:hAnsiTheme="minorHAnsi" w:cstheme="minorHAnsi"/>
          <w:szCs w:val="22"/>
        </w:rPr>
        <w:t>are generally as expected</w:t>
      </w:r>
      <w:r w:rsidR="00494EE0" w:rsidRPr="002520B6">
        <w:rPr>
          <w:rFonts w:asciiTheme="minorHAnsi" w:hAnsiTheme="minorHAnsi" w:cstheme="minorHAnsi"/>
          <w:szCs w:val="22"/>
        </w:rPr>
        <w:t xml:space="preserve">. </w:t>
      </w:r>
    </w:p>
    <w:p w14:paraId="75AB8555" w14:textId="35B2B714" w:rsidR="00A3430D" w:rsidRPr="002520B6" w:rsidRDefault="00A3430D" w:rsidP="00A3430D">
      <w:r w:rsidRPr="002520B6">
        <w:t>The Trustee</w:t>
      </w:r>
      <w:r w:rsidR="00EB2D58" w:rsidRPr="002520B6">
        <w:t>s</w:t>
      </w:r>
      <w:r w:rsidRPr="002520B6">
        <w:t xml:space="preserve"> ha</w:t>
      </w:r>
      <w:r w:rsidR="00EB2D58" w:rsidRPr="002520B6">
        <w:t>ve</w:t>
      </w:r>
      <w:r w:rsidRPr="002520B6">
        <w:t xml:space="preserve"> interpreted the most significant votes to mean their choice of votes from an extended list of significant votes provided by each of the investment managers in accordance with the PLSA guidance.</w:t>
      </w:r>
    </w:p>
    <w:p w14:paraId="50271580" w14:textId="1CD53739" w:rsidR="00A3430D" w:rsidRPr="002520B6" w:rsidRDefault="00A3430D" w:rsidP="00A3430D">
      <w:r w:rsidRPr="002520B6">
        <w:lastRenderedPageBreak/>
        <w:t xml:space="preserve">The significant votes provided by investment managers are determined by the stewardship policies they have in place. As the </w:t>
      </w:r>
      <w:r w:rsidR="009A1196" w:rsidRPr="002520B6">
        <w:t>Fund</w:t>
      </w:r>
      <w:r w:rsidRPr="002520B6">
        <w:t xml:space="preserve"> has not set any stewardship priorities at the end of the </w:t>
      </w:r>
      <w:r w:rsidR="009A1196" w:rsidRPr="002520B6">
        <w:t>Fund</w:t>
      </w:r>
      <w:r w:rsidRPr="002520B6">
        <w:t xml:space="preserve"> year, significant votes </w:t>
      </w:r>
      <w:r w:rsidR="00EA21F3" w:rsidRPr="002520B6">
        <w:t xml:space="preserve">have </w:t>
      </w:r>
      <w:r w:rsidRPr="002520B6">
        <w:t>be</w:t>
      </w:r>
      <w:r w:rsidR="00EA21F3" w:rsidRPr="002520B6">
        <w:t>en</w:t>
      </w:r>
      <w:r w:rsidRPr="002520B6">
        <w:t xml:space="preserve"> classified according to these manager policies. However, the Trustee</w:t>
      </w:r>
      <w:r w:rsidR="00EB2D58" w:rsidRPr="002520B6">
        <w:t>s</w:t>
      </w:r>
      <w:r w:rsidRPr="002520B6">
        <w:t xml:space="preserve"> ha</w:t>
      </w:r>
      <w:r w:rsidR="00EB2D58" w:rsidRPr="002520B6">
        <w:t>ve</w:t>
      </w:r>
      <w:r w:rsidRPr="002520B6">
        <w:t xml:space="preserve"> reviewed and are satisfied with the managers’ classifications of significant votes during the </w:t>
      </w:r>
      <w:r w:rsidR="009A1196" w:rsidRPr="002520B6">
        <w:t>Fund</w:t>
      </w:r>
      <w:r w:rsidRPr="002520B6">
        <w:t xml:space="preserve"> year.</w:t>
      </w:r>
      <w:r w:rsidR="00E8696F" w:rsidRPr="002520B6">
        <w:t xml:space="preserve"> </w:t>
      </w:r>
    </w:p>
    <w:p w14:paraId="0670A0A7" w14:textId="77777777" w:rsidR="00A3430D" w:rsidRPr="002520B6" w:rsidRDefault="00A3430D" w:rsidP="00A3430D">
      <w:r w:rsidRPr="002520B6">
        <w:t>A cross section of the most significant votes cast is contained in Appendix 2.</w:t>
      </w:r>
      <w:bookmarkEnd w:id="7"/>
    </w:p>
    <w:p w14:paraId="1B3B511F" w14:textId="77777777" w:rsidR="0095247E" w:rsidRPr="002520B6" w:rsidRDefault="0095247E">
      <w:pPr>
        <w:spacing w:after="0"/>
        <w:rPr>
          <w:rFonts w:ascii="Futura Std Medium" w:hAnsi="Futura Std Medium" w:cs="Arial"/>
          <w:bCs/>
          <w:iCs/>
          <w:color w:val="004712" w:themeColor="accent1"/>
          <w:sz w:val="30"/>
          <w:szCs w:val="28"/>
        </w:rPr>
      </w:pPr>
      <w:r w:rsidRPr="002520B6">
        <w:br w:type="page"/>
      </w:r>
    </w:p>
    <w:p w14:paraId="59D13454" w14:textId="5EAFD997" w:rsidR="00B55994" w:rsidRPr="002520B6" w:rsidRDefault="00A3430D" w:rsidP="00D266EC">
      <w:pPr>
        <w:pStyle w:val="Heading2"/>
        <w:numPr>
          <w:ilvl w:val="0"/>
          <w:numId w:val="27"/>
        </w:numPr>
        <w:ind w:left="357" w:hanging="357"/>
      </w:pPr>
      <w:r w:rsidRPr="002520B6">
        <w:lastRenderedPageBreak/>
        <w:t>C</w:t>
      </w:r>
      <w:r w:rsidR="00B55994" w:rsidRPr="002520B6">
        <w:t>onflicts of interest</w:t>
      </w:r>
      <w:r w:rsidR="009560A1" w:rsidRPr="002520B6">
        <w:t xml:space="preserve"> </w:t>
      </w:r>
    </w:p>
    <w:p w14:paraId="78528107" w14:textId="0F5114C2" w:rsidR="00A3430D" w:rsidRPr="002520B6" w:rsidRDefault="00A3430D" w:rsidP="00A3430D">
      <w:r w:rsidRPr="002520B6">
        <w:t xml:space="preserve">This section reviews whether the managers are affected by the following conflicts of interest, and how these are managed. </w:t>
      </w:r>
      <w:r w:rsidR="00EB2D58" w:rsidRPr="002520B6">
        <w:t xml:space="preserve">These conflicts are not specific to the </w:t>
      </w:r>
      <w:r w:rsidR="009A1196" w:rsidRPr="002520B6">
        <w:t>Fund</w:t>
      </w:r>
      <w:r w:rsidR="00EB2D58" w:rsidRPr="002520B6">
        <w:t xml:space="preserve"> and relate to the general conflicts of interest within the investment managers.</w:t>
      </w:r>
    </w:p>
    <w:p w14:paraId="2012D69C" w14:textId="769AEDB7" w:rsidR="00B15ECD" w:rsidRPr="002520B6" w:rsidRDefault="00B15ECD" w:rsidP="00B15ECD">
      <w:pPr>
        <w:pStyle w:val="ListNumber"/>
        <w:numPr>
          <w:ilvl w:val="0"/>
          <w:numId w:val="16"/>
        </w:numPr>
      </w:pPr>
      <w:r w:rsidRPr="002520B6">
        <w:t>The asset management firm overall having an apparent client-relationship conflict e.g. the manager provides significant products or services to a company in which they also have an equity or bond holding;</w:t>
      </w:r>
    </w:p>
    <w:p w14:paraId="0DBFCFFA" w14:textId="77777777" w:rsidR="00B15ECD" w:rsidRPr="002520B6" w:rsidRDefault="00B15ECD" w:rsidP="00B15ECD">
      <w:pPr>
        <w:pStyle w:val="ListNumber"/>
        <w:numPr>
          <w:ilvl w:val="0"/>
          <w:numId w:val="16"/>
        </w:numPr>
      </w:pPr>
      <w:r w:rsidRPr="002520B6">
        <w:t>Senior staff at the asset management firm holding roles (e.g. as a member of the Board) at a company in which the asset management firm has equity or bond holdings;</w:t>
      </w:r>
    </w:p>
    <w:p w14:paraId="129A713B" w14:textId="77777777" w:rsidR="00B15ECD" w:rsidRPr="002520B6" w:rsidRDefault="00B15ECD" w:rsidP="00B15ECD">
      <w:pPr>
        <w:pStyle w:val="ListNumber"/>
        <w:numPr>
          <w:ilvl w:val="0"/>
          <w:numId w:val="16"/>
        </w:numPr>
      </w:pPr>
      <w:r w:rsidRPr="002520B6">
        <w:t>The asset management firm’s stewardship staff having a personal relationship with relevant individuals (e.g. on the Board or the company secretariat) at a company in which the firm has an equity or bond holding;</w:t>
      </w:r>
    </w:p>
    <w:p w14:paraId="49F69BE1" w14:textId="4E23365C" w:rsidR="00B15ECD" w:rsidRPr="002520B6" w:rsidRDefault="00B15ECD" w:rsidP="00B15ECD">
      <w:pPr>
        <w:pStyle w:val="ListNumber"/>
        <w:numPr>
          <w:ilvl w:val="0"/>
          <w:numId w:val="16"/>
        </w:numPr>
      </w:pPr>
      <w:r w:rsidRPr="002520B6">
        <w:t>A situation where the interests of different clients diverge. An example of this could be a takeover, where one set of clients is exposed to the target and another set is exposed to the acquirer; and</w:t>
      </w:r>
    </w:p>
    <w:p w14:paraId="32436D23" w14:textId="27A9AF0C" w:rsidR="00D07FA4" w:rsidRPr="002520B6" w:rsidRDefault="00B15ECD" w:rsidP="00C84C6B">
      <w:pPr>
        <w:pStyle w:val="ListNumber"/>
        <w:numPr>
          <w:ilvl w:val="0"/>
          <w:numId w:val="16"/>
        </w:numPr>
      </w:pPr>
      <w:r w:rsidRPr="002520B6">
        <w:t>Differences between the stewardship policies of managers and their clients.</w:t>
      </w:r>
    </w:p>
    <w:p w14:paraId="78AFD643" w14:textId="77777777" w:rsidR="006A73B7" w:rsidRPr="002520B6" w:rsidRDefault="006A73B7" w:rsidP="006A73B7">
      <w:pPr>
        <w:pStyle w:val="Heading3"/>
        <w:spacing w:before="0"/>
      </w:pPr>
      <w:r w:rsidRPr="002520B6">
        <w:t>BNY Mellon/Newton</w:t>
      </w:r>
    </w:p>
    <w:p w14:paraId="2CFD3016" w14:textId="19CE3753" w:rsidR="00943003" w:rsidRPr="002520B6" w:rsidRDefault="006A73B7" w:rsidP="006A73B7">
      <w:bookmarkStart w:id="8" w:name="_Hlk141191800"/>
      <w:r w:rsidRPr="002520B6">
        <w:t xml:space="preserve">Newton Investment Management (“Newton”) have confirmed that </w:t>
      </w:r>
      <w:r w:rsidR="00121CA4">
        <w:t xml:space="preserve">over the twelve months to 30 September 2024 </w:t>
      </w:r>
      <w:r w:rsidRPr="002520B6">
        <w:t xml:space="preserve">they </w:t>
      </w:r>
      <w:r w:rsidR="00121CA4">
        <w:t>we</w:t>
      </w:r>
      <w:r w:rsidRPr="002520B6">
        <w:t>re</w:t>
      </w:r>
      <w:r w:rsidR="00765C07" w:rsidRPr="002520B6">
        <w:t xml:space="preserve"> not affected by the above conflicts</w:t>
      </w:r>
      <w:r w:rsidRPr="002520B6">
        <w:t xml:space="preserve">. Newton’s voting policies state that if a potential material conflict of interest between Newton, an investee company, and/or a client is identified, it is their policy that the recommendation of their external voting service provider will be followed. </w:t>
      </w:r>
    </w:p>
    <w:p w14:paraId="74F88780" w14:textId="77777777" w:rsidR="00943003" w:rsidRPr="002520B6" w:rsidRDefault="00943003" w:rsidP="00943003">
      <w:pPr>
        <w:pStyle w:val="Heading3"/>
      </w:pPr>
      <w:r w:rsidRPr="002520B6">
        <w:t>Fundsmith</w:t>
      </w:r>
    </w:p>
    <w:p w14:paraId="7D733608" w14:textId="63649462" w:rsidR="00943003" w:rsidRPr="002520B6" w:rsidRDefault="00943003" w:rsidP="00943003">
      <w:bookmarkStart w:id="9" w:name="_Hlk109902498"/>
      <w:r w:rsidRPr="002520B6">
        <w:t xml:space="preserve">Fundsmith have confirmed that they </w:t>
      </w:r>
      <w:r w:rsidR="00121CA4">
        <w:t>we</w:t>
      </w:r>
      <w:r w:rsidRPr="002520B6">
        <w:t>re not affected by the above conflicts</w:t>
      </w:r>
      <w:r w:rsidR="00121CA4">
        <w:t xml:space="preserve"> over the twelve months to the 30 September 2024.</w:t>
      </w:r>
      <w:r w:rsidRPr="002520B6">
        <w:t xml:space="preserve"> </w:t>
      </w:r>
    </w:p>
    <w:p w14:paraId="47ECBD7A" w14:textId="77777777" w:rsidR="00943003" w:rsidRPr="002520B6" w:rsidRDefault="00943003" w:rsidP="00943003">
      <w:r w:rsidRPr="002520B6">
        <w:t>Fundsmith strive to avoid any conflicts of interest in their investment activities, should any potential or actual conflicts of interest be identified across their stewardship activities, they will be recorded in the firms internal Conflicts of Interest Register. Fundsmith maintains and operates organisational and administrative arrangements designed to identify, prevent, manage and monitor conflicts of interest in order to reduce the potential impact of conflicts that may affect the interests of its clients and to ensure that any conflicts of interest are managed in such a way so as to put the interests of clients first.</w:t>
      </w:r>
    </w:p>
    <w:p w14:paraId="602DD2CD" w14:textId="77777777" w:rsidR="00943003" w:rsidRPr="002520B6" w:rsidRDefault="00943003" w:rsidP="00943003">
      <w:r w:rsidRPr="002520B6">
        <w:t>The Trustees have reviewed the conflicts of interest policy.</w:t>
      </w:r>
    </w:p>
    <w:p w14:paraId="4828CE1C" w14:textId="76571989" w:rsidR="00943003" w:rsidRPr="002520B6" w:rsidRDefault="00943003" w:rsidP="006A73B7">
      <w:pPr>
        <w:rPr>
          <w:color w:val="000000" w:themeColor="hyperlink"/>
          <w:u w:val="single"/>
        </w:rPr>
      </w:pPr>
      <w:r w:rsidRPr="002520B6">
        <w:t xml:space="preserve">This is available here: </w:t>
      </w:r>
      <w:hyperlink r:id="rId8" w:history="1">
        <w:r w:rsidRPr="002520B6">
          <w:rPr>
            <w:rStyle w:val="Hyperlink"/>
          </w:rPr>
          <w:t>https://www.fundsmith.com/conflicts-of-interest-statement/</w:t>
        </w:r>
      </w:hyperlink>
      <w:r w:rsidRPr="002520B6">
        <w:t xml:space="preserve"> </w:t>
      </w:r>
      <w:bookmarkEnd w:id="9"/>
    </w:p>
    <w:bookmarkEnd w:id="8"/>
    <w:p w14:paraId="7DF760C0" w14:textId="0F2431CB" w:rsidR="000875B4" w:rsidRPr="002520B6" w:rsidRDefault="000875B4" w:rsidP="00943003">
      <w:r w:rsidRPr="002520B6">
        <w:br w:type="page"/>
      </w:r>
    </w:p>
    <w:p w14:paraId="108333E6" w14:textId="76A6F44F" w:rsidR="009E7B7A" w:rsidRPr="002520B6" w:rsidRDefault="009E7B7A" w:rsidP="00B00513">
      <w:pPr>
        <w:pStyle w:val="Heading2"/>
      </w:pPr>
      <w:r w:rsidRPr="002520B6">
        <w:lastRenderedPageBreak/>
        <w:t xml:space="preserve">Appendix </w:t>
      </w:r>
      <w:r w:rsidR="00603EC2" w:rsidRPr="002520B6">
        <w:t>1</w:t>
      </w:r>
      <w:r w:rsidRPr="002520B6">
        <w:t xml:space="preserve"> - </w:t>
      </w:r>
      <w:r w:rsidR="00187805" w:rsidRPr="002520B6">
        <w:t>Investment manager voting policies and procedures</w:t>
      </w:r>
    </w:p>
    <w:p w14:paraId="38521C85" w14:textId="77777777" w:rsidR="006A73B7" w:rsidRPr="002520B6" w:rsidRDefault="006A73B7" w:rsidP="006A73B7">
      <w:pPr>
        <w:keepNext/>
        <w:spacing w:before="240" w:after="20"/>
        <w:contextualSpacing/>
        <w:outlineLvl w:val="2"/>
        <w:rPr>
          <w:rFonts w:cs="Arial"/>
          <w:b/>
          <w:bCs/>
          <w:color w:val="004712" w:themeColor="accent1"/>
          <w:sz w:val="24"/>
          <w:szCs w:val="26"/>
        </w:rPr>
      </w:pPr>
      <w:r w:rsidRPr="002520B6">
        <w:rPr>
          <w:rFonts w:cs="Arial"/>
          <w:b/>
          <w:bCs/>
          <w:color w:val="004712" w:themeColor="accent1"/>
          <w:sz w:val="24"/>
          <w:szCs w:val="26"/>
        </w:rPr>
        <w:t xml:space="preserve">BNY Mellon/ Newton </w:t>
      </w:r>
    </w:p>
    <w:p w14:paraId="411CF5F4" w14:textId="77777777" w:rsidR="006A73B7" w:rsidRPr="002520B6" w:rsidRDefault="006A73B7" w:rsidP="006A73B7">
      <w:bookmarkStart w:id="10" w:name="_Hlk141191838"/>
      <w:r w:rsidRPr="002520B6">
        <w:t xml:space="preserve">Newton have a proven track-record of being active owners, striving to use their scale to ensure that the companies in which they invest are acting responsibly. In addition to actively engaging with companies, Newton considers ESG risks and opportunities when conducting its research process. </w:t>
      </w:r>
    </w:p>
    <w:p w14:paraId="0F14711A" w14:textId="77777777" w:rsidR="006A73B7" w:rsidRPr="002520B6" w:rsidRDefault="006A73B7" w:rsidP="006A73B7">
      <w:r w:rsidRPr="002520B6">
        <w:t xml:space="preserve">Newton’s head of responsible investment (“RI”) is responsible for the decision-making process of the RI team when reviewing meeting resolutions for contentious issues. They do not maintain a strict proxy voting policy. Instead, Newton prefer to consider a company's individual circumstances, their investment rationale and any engagement activities together with relevant governing laws, guidelines and best practices. Contentious issues may be referred to the appropriate industry analyst for comment and, where relevant, they may confer with the company or other interested parties for further clarification, to reach a compromise, or to achieve a commitment from the company. </w:t>
      </w:r>
    </w:p>
    <w:p w14:paraId="1E43B5A9" w14:textId="77777777" w:rsidR="006A73B7" w:rsidRPr="002520B6" w:rsidRDefault="006A73B7" w:rsidP="006A73B7">
      <w:r w:rsidRPr="002520B6">
        <w:t xml:space="preserve">Newton employ a variety of research providers that aid in the vote decision-making process, including proxy advisors such as ISS. They utilise ISS for the purpose of administering proxy voting, as well as its research reports on individual company meetings. </w:t>
      </w:r>
    </w:p>
    <w:p w14:paraId="269CC540" w14:textId="77777777" w:rsidR="006A73B7" w:rsidRPr="002520B6" w:rsidRDefault="006A73B7" w:rsidP="006A73B7">
      <w:r w:rsidRPr="002520B6">
        <w:t>For the avoidance of doubt, all voting decisions are made by Newton. It is only in the event of a material potential conflict of interest between Newton, the investee company and/or a client that the recommendations of the voting service used (ISS) will take precedence. It is also only in these circumstances when they may register an abstention given their stance of either voting in favour or against any proposed resolutions.</w:t>
      </w:r>
    </w:p>
    <w:bookmarkEnd w:id="10"/>
    <w:p w14:paraId="2F65A8A2" w14:textId="385DEE18" w:rsidR="0071516F" w:rsidRPr="002520B6" w:rsidRDefault="0071516F" w:rsidP="0071516F">
      <w:pPr>
        <w:keepNext/>
        <w:spacing w:before="240" w:after="20"/>
        <w:contextualSpacing/>
        <w:outlineLvl w:val="2"/>
        <w:rPr>
          <w:rFonts w:cs="Arial"/>
          <w:b/>
          <w:bCs/>
          <w:color w:val="004712" w:themeColor="accent1"/>
          <w:sz w:val="24"/>
          <w:szCs w:val="26"/>
        </w:rPr>
      </w:pPr>
      <w:r w:rsidRPr="002520B6">
        <w:rPr>
          <w:rFonts w:cs="Arial"/>
          <w:b/>
          <w:bCs/>
          <w:color w:val="004712" w:themeColor="accent1"/>
          <w:sz w:val="24"/>
          <w:szCs w:val="26"/>
        </w:rPr>
        <w:t>Fundsmith</w:t>
      </w:r>
    </w:p>
    <w:p w14:paraId="35C0887A" w14:textId="46C48059" w:rsidR="00936799" w:rsidRPr="002520B6" w:rsidRDefault="00197F51" w:rsidP="00B3164C">
      <w:pPr>
        <w:keepNext/>
        <w:spacing w:before="240" w:after="20"/>
        <w:contextualSpacing/>
        <w:outlineLvl w:val="2"/>
      </w:pPr>
      <w:r w:rsidRPr="002520B6">
        <w:t>Fundsmith was set up to be a long-term shareholder in high-quality companies that can and will sustain their operations indefinitely. A</w:t>
      </w:r>
      <w:r w:rsidR="0067648A" w:rsidRPr="002520B6">
        <w:t>s long term buy-and-hold investors</w:t>
      </w:r>
      <w:r w:rsidR="00B3164C" w:rsidRPr="002520B6">
        <w:t>,</w:t>
      </w:r>
      <w:r w:rsidRPr="002520B6">
        <w:t xml:space="preserve"> </w:t>
      </w:r>
      <w:proofErr w:type="spellStart"/>
      <w:r w:rsidRPr="002520B6">
        <w:t>Fundsmith</w:t>
      </w:r>
      <w:r w:rsidR="00EA21F3" w:rsidRPr="002520B6">
        <w:t>’</w:t>
      </w:r>
      <w:r w:rsidRPr="002520B6">
        <w:t>s</w:t>
      </w:r>
      <w:proofErr w:type="spellEnd"/>
      <w:r w:rsidRPr="002520B6">
        <w:t xml:space="preserve"> fundamental approach to investing means that stewardship is not a “bolt-on” concern but a crucial aspect in ensuring the success of our value proposition to clients, putting </w:t>
      </w:r>
      <w:r w:rsidR="00B3164C" w:rsidRPr="002520B6">
        <w:t xml:space="preserve">emphasis on the importance of responsible investment </w:t>
      </w:r>
      <w:r w:rsidRPr="002520B6">
        <w:t xml:space="preserve">in </w:t>
      </w:r>
      <w:r w:rsidR="00B3164C" w:rsidRPr="002520B6">
        <w:t xml:space="preserve">their investment strategy. Reflecting their dedication to this, Fundsmith was among the first cohort of applicants to gain signatory status to the UK Stewardship Code in 2021 and has remained as a signatory since. Fundsmith prioritises transparency, integrity, and conviction across all activities as an asset management firm, including </w:t>
      </w:r>
      <w:r w:rsidRPr="002520B6">
        <w:t>thei</w:t>
      </w:r>
      <w:r w:rsidR="00B3164C" w:rsidRPr="002520B6">
        <w:t xml:space="preserve">r responsibilities as stewards of </w:t>
      </w:r>
      <w:r w:rsidRPr="002520B6">
        <w:t>their</w:t>
      </w:r>
      <w:r w:rsidR="00B3164C" w:rsidRPr="002520B6">
        <w:t xml:space="preserve"> investors’ capital.</w:t>
      </w:r>
    </w:p>
    <w:p w14:paraId="11EA31C4" w14:textId="77777777" w:rsidR="0071516F" w:rsidRPr="002520B6" w:rsidRDefault="0071516F" w:rsidP="009E7B7A">
      <w:pPr>
        <w:keepNext/>
        <w:spacing w:before="240" w:after="20"/>
        <w:contextualSpacing/>
        <w:outlineLvl w:val="2"/>
        <w:rPr>
          <w:rFonts w:cs="Arial"/>
          <w:b/>
          <w:bCs/>
          <w:color w:val="004712" w:themeColor="accent1"/>
          <w:sz w:val="24"/>
          <w:szCs w:val="26"/>
        </w:rPr>
      </w:pPr>
    </w:p>
    <w:p w14:paraId="0538D3A8" w14:textId="77777777" w:rsidR="006475E2" w:rsidRDefault="006475E2">
      <w:pPr>
        <w:spacing w:after="0"/>
        <w:rPr>
          <w:rFonts w:ascii="Futura Std Medium" w:hAnsi="Futura Std Medium" w:cs="Arial"/>
          <w:bCs/>
          <w:iCs/>
          <w:color w:val="004712" w:themeColor="accent1"/>
          <w:sz w:val="30"/>
          <w:szCs w:val="28"/>
        </w:rPr>
      </w:pPr>
      <w:r>
        <w:br w:type="page"/>
      </w:r>
    </w:p>
    <w:p w14:paraId="6E8A5999" w14:textId="7910667D" w:rsidR="00C3163C" w:rsidRPr="002520B6" w:rsidRDefault="00C3163C" w:rsidP="00D266EC">
      <w:pPr>
        <w:pStyle w:val="Heading2"/>
      </w:pPr>
      <w:r w:rsidRPr="002520B6">
        <w:lastRenderedPageBreak/>
        <w:t>Appendix 2 – Most significant votes cast</w:t>
      </w:r>
    </w:p>
    <w:p w14:paraId="30EEED75" w14:textId="22260E19" w:rsidR="00944E20" w:rsidRPr="002520B6" w:rsidRDefault="00944E20" w:rsidP="00944E20">
      <w:r w:rsidRPr="002520B6">
        <w:t xml:space="preserve">The tables below set out a cross section of significant votes undertaken by the investment managers of the funds held by the </w:t>
      </w:r>
      <w:r w:rsidR="009A1196" w:rsidRPr="002520B6">
        <w:t>Fund</w:t>
      </w:r>
      <w:r w:rsidRPr="002520B6">
        <w:t xml:space="preserve">. Information on further significant votes undertaken by the </w:t>
      </w:r>
      <w:r w:rsidR="009A1196" w:rsidRPr="002520B6">
        <w:t>Fund</w:t>
      </w:r>
      <w:r w:rsidRPr="002520B6">
        <w:t xml:space="preserve">’s investment managers has been reviewed by the Trustees through their investment adviser. </w:t>
      </w:r>
    </w:p>
    <w:p w14:paraId="63C0E11C" w14:textId="77777777" w:rsidR="00494EE0" w:rsidRPr="002520B6" w:rsidRDefault="00494EE0" w:rsidP="00494EE0">
      <w:pPr>
        <w:pStyle w:val="Heading2"/>
      </w:pPr>
      <w:r w:rsidRPr="002520B6">
        <w:t>Significant vote definitions</w:t>
      </w:r>
    </w:p>
    <w:p w14:paraId="50C163DC" w14:textId="77777777" w:rsidR="006A73B7" w:rsidRPr="002520B6" w:rsidRDefault="006A73B7" w:rsidP="006A73B7">
      <w:pPr>
        <w:pStyle w:val="Heading3"/>
      </w:pPr>
      <w:r w:rsidRPr="002520B6">
        <w:t>BNY Mellon/ Newton</w:t>
      </w:r>
    </w:p>
    <w:p w14:paraId="2620C2D8" w14:textId="77777777" w:rsidR="006A73B7" w:rsidRPr="002520B6" w:rsidRDefault="006A73B7" w:rsidP="006A73B7">
      <w:r w:rsidRPr="002520B6">
        <w:t>Newton’s significant holdings universe is determined based on the proportion of a shares of investee companies held, as well as the size of the investment based on its value above certain thresholds. Newton draws significant votes from this universe and defines significant votes as those that are likely to generate significant scrutiny from end clients or other stakeholders. They may relate to resolutions that receive a particularly high proportion of dissent from investors or involve a corporate transaction or resolutions raised by shareholders.</w:t>
      </w:r>
    </w:p>
    <w:p w14:paraId="46A05D04" w14:textId="77777777" w:rsidR="00494EE0" w:rsidRPr="002520B6" w:rsidRDefault="009F0164" w:rsidP="00924D46">
      <w:pPr>
        <w:pStyle w:val="Heading3"/>
      </w:pPr>
      <w:r w:rsidRPr="002520B6">
        <w:t>Fundsmith</w:t>
      </w:r>
    </w:p>
    <w:p w14:paraId="11562A19" w14:textId="3082C9FB" w:rsidR="00494EE0" w:rsidRPr="002520B6" w:rsidRDefault="00494EE0" w:rsidP="00494EE0">
      <w:r w:rsidRPr="002520B6">
        <w:t xml:space="preserve">In determining significant votes, </w:t>
      </w:r>
      <w:r w:rsidR="006E120D" w:rsidRPr="002520B6">
        <w:t xml:space="preserve">Fundsmith </w:t>
      </w:r>
      <w:r w:rsidRPr="002520B6">
        <w:t xml:space="preserve">considers the </w:t>
      </w:r>
      <w:r w:rsidR="006E120D" w:rsidRPr="002520B6">
        <w:t>listed below criteria;</w:t>
      </w:r>
    </w:p>
    <w:p w14:paraId="3199B96E" w14:textId="3F4D50F3" w:rsidR="00494EE0" w:rsidRPr="002520B6" w:rsidRDefault="006E120D" w:rsidP="00DA512C">
      <w:pPr>
        <w:pStyle w:val="ListBullet"/>
        <w:numPr>
          <w:ilvl w:val="0"/>
          <w:numId w:val="35"/>
        </w:numPr>
        <w:spacing w:after="120"/>
        <w:ind w:left="357" w:hanging="357"/>
      </w:pPr>
      <w:r w:rsidRPr="002520B6">
        <w:t>Size of holding in the company</w:t>
      </w:r>
      <w:r w:rsidR="00494EE0" w:rsidRPr="002520B6">
        <w:t>;</w:t>
      </w:r>
    </w:p>
    <w:p w14:paraId="716B86B7" w14:textId="5132B27F" w:rsidR="00494EE0" w:rsidRPr="002520B6" w:rsidRDefault="006E120D" w:rsidP="00DA512C">
      <w:pPr>
        <w:pStyle w:val="ListBullet"/>
        <w:numPr>
          <w:ilvl w:val="0"/>
          <w:numId w:val="35"/>
        </w:numPr>
        <w:spacing w:after="120"/>
        <w:ind w:left="357" w:hanging="357"/>
      </w:pPr>
      <w:r w:rsidRPr="002520B6">
        <w:t>Weighting of company in the portfolio</w:t>
      </w:r>
      <w:r w:rsidR="00494EE0" w:rsidRPr="002520B6">
        <w:t>;</w:t>
      </w:r>
    </w:p>
    <w:p w14:paraId="451C0331" w14:textId="2E2C492A" w:rsidR="00494EE0" w:rsidRPr="002520B6" w:rsidRDefault="006E120D" w:rsidP="00DA512C">
      <w:pPr>
        <w:pStyle w:val="ListBullet"/>
        <w:numPr>
          <w:ilvl w:val="0"/>
          <w:numId w:val="35"/>
        </w:numPr>
        <w:spacing w:after="120"/>
        <w:ind w:left="357" w:hanging="357"/>
      </w:pPr>
      <w:r w:rsidRPr="002520B6">
        <w:t>Removal from typical voting behaviour</w:t>
      </w:r>
      <w:r w:rsidR="006276B1" w:rsidRPr="002520B6">
        <w:t>;</w:t>
      </w:r>
    </w:p>
    <w:p w14:paraId="02D49FB5" w14:textId="3B392E64" w:rsidR="00EA58A1" w:rsidRPr="002520B6" w:rsidRDefault="006276B1" w:rsidP="00017DCB">
      <w:pPr>
        <w:pStyle w:val="ListBullet"/>
        <w:numPr>
          <w:ilvl w:val="0"/>
          <w:numId w:val="35"/>
        </w:numPr>
        <w:spacing w:after="120"/>
        <w:ind w:left="357" w:hanging="357"/>
      </w:pPr>
      <w:r w:rsidRPr="002520B6">
        <w:t>If the vote/issue avoids or generates and material impact on performance;</w:t>
      </w:r>
      <w:r w:rsidR="00EA21F3" w:rsidRPr="002520B6">
        <w:t xml:space="preserve"> and</w:t>
      </w:r>
    </w:p>
    <w:p w14:paraId="42557D4F" w14:textId="120A3F55" w:rsidR="006276B1" w:rsidRPr="002520B6" w:rsidRDefault="006276B1" w:rsidP="00017DCB">
      <w:pPr>
        <w:pStyle w:val="ListBullet"/>
        <w:numPr>
          <w:ilvl w:val="0"/>
          <w:numId w:val="35"/>
        </w:numPr>
        <w:spacing w:after="120"/>
        <w:ind w:left="357" w:hanging="357"/>
      </w:pPr>
      <w:r w:rsidRPr="002520B6">
        <w:t>Key issues for Fundsmith.</w:t>
      </w:r>
    </w:p>
    <w:p w14:paraId="78CAACB6" w14:textId="53AC4073" w:rsidR="00EA58A1" w:rsidRPr="002520B6" w:rsidRDefault="00EA58A1">
      <w:pPr>
        <w:spacing w:after="0"/>
        <w:rPr>
          <w:rFonts w:cs="Arial"/>
          <w:b/>
          <w:bCs/>
          <w:color w:val="004712" w:themeColor="accent1"/>
          <w:sz w:val="24"/>
          <w:szCs w:val="26"/>
        </w:rPr>
      </w:pPr>
    </w:p>
    <w:p w14:paraId="72348435" w14:textId="77777777" w:rsidR="00494EE0" w:rsidRPr="002520B6" w:rsidRDefault="00494EE0" w:rsidP="00C3163C">
      <w:pPr>
        <w:keepNext/>
        <w:spacing w:before="240" w:after="20"/>
        <w:contextualSpacing/>
        <w:outlineLvl w:val="2"/>
        <w:rPr>
          <w:rFonts w:cs="Arial"/>
          <w:b/>
          <w:bCs/>
          <w:color w:val="004712" w:themeColor="accent1"/>
          <w:sz w:val="24"/>
          <w:szCs w:val="26"/>
        </w:rPr>
      </w:pPr>
    </w:p>
    <w:p w14:paraId="71878E55" w14:textId="77777777" w:rsidR="00494EE0" w:rsidRPr="002520B6" w:rsidRDefault="00494EE0">
      <w:pPr>
        <w:spacing w:after="0"/>
        <w:rPr>
          <w:rFonts w:cs="Arial"/>
          <w:b/>
          <w:bCs/>
          <w:color w:val="004712" w:themeColor="accent1"/>
          <w:sz w:val="24"/>
          <w:szCs w:val="26"/>
        </w:rPr>
      </w:pPr>
      <w:r w:rsidRPr="002520B6">
        <w:rPr>
          <w:rFonts w:cs="Arial"/>
          <w:b/>
          <w:bCs/>
          <w:color w:val="004712" w:themeColor="accent1"/>
          <w:sz w:val="24"/>
          <w:szCs w:val="26"/>
        </w:rPr>
        <w:br w:type="page"/>
      </w:r>
    </w:p>
    <w:p w14:paraId="286D2720" w14:textId="4F9FB087" w:rsidR="00DA512C" w:rsidRPr="002520B6" w:rsidRDefault="00DA512C" w:rsidP="0009394D">
      <w:pPr>
        <w:pStyle w:val="Heading2"/>
        <w:rPr>
          <w:b/>
          <w:bCs w:val="0"/>
          <w:sz w:val="24"/>
          <w:szCs w:val="26"/>
        </w:rPr>
      </w:pPr>
      <w:r w:rsidRPr="002520B6">
        <w:lastRenderedPageBreak/>
        <w:t>Significant votes</w:t>
      </w:r>
    </w:p>
    <w:p w14:paraId="1A0711E7" w14:textId="1AC07B40" w:rsidR="00C3163C" w:rsidRPr="00C76CE5" w:rsidRDefault="00B53380" w:rsidP="00C3163C">
      <w:pPr>
        <w:keepNext/>
        <w:spacing w:before="240" w:after="20"/>
        <w:contextualSpacing/>
        <w:outlineLvl w:val="2"/>
        <w:rPr>
          <w:rFonts w:cs="Arial"/>
          <w:b/>
          <w:bCs/>
          <w:color w:val="004712" w:themeColor="accent1"/>
          <w:sz w:val="24"/>
          <w:szCs w:val="26"/>
        </w:rPr>
      </w:pPr>
      <w:r w:rsidRPr="00C76CE5">
        <w:rPr>
          <w:rFonts w:cs="Arial"/>
          <w:b/>
          <w:bCs/>
          <w:color w:val="004712" w:themeColor="accent1"/>
          <w:sz w:val="24"/>
          <w:szCs w:val="26"/>
        </w:rPr>
        <w:t>BNY Mellon Multi Asset Diversified Return Fund</w:t>
      </w:r>
    </w:p>
    <w:tbl>
      <w:tblPr>
        <w:tblStyle w:val="QuantumBandedTable"/>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118"/>
        <w:gridCol w:w="3515"/>
      </w:tblGrid>
      <w:tr w:rsidR="00F33D4A" w:rsidRPr="00C76CE5" w14:paraId="5D2783B1" w14:textId="77777777" w:rsidTr="00B53380">
        <w:trPr>
          <w:cnfStyle w:val="100000000000" w:firstRow="1" w:lastRow="0" w:firstColumn="0" w:lastColumn="0" w:oddVBand="0" w:evenVBand="0" w:oddHBand="0" w:evenHBand="0" w:firstRowFirstColumn="0" w:firstRowLastColumn="0" w:lastRowFirstColumn="0" w:lastRowLastColumn="0"/>
          <w:trHeight w:val="567"/>
        </w:trPr>
        <w:tc>
          <w:tcPr>
            <w:tcW w:w="254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AD5E49" w14:textId="6FD9F91B" w:rsidR="00F33D4A" w:rsidRPr="00C76CE5" w:rsidRDefault="00F33D4A" w:rsidP="00ED0CD9">
            <w:pPr>
              <w:tabs>
                <w:tab w:val="center" w:pos="4513"/>
                <w:tab w:val="right" w:pos="9026"/>
              </w:tabs>
              <w:spacing w:before="0"/>
              <w:rPr>
                <w:color w:val="auto"/>
              </w:rPr>
            </w:pPr>
            <w:r w:rsidRPr="00C76CE5">
              <w:rPr>
                <w:color w:val="auto"/>
              </w:rPr>
              <w:t xml:space="preserve">Company </w:t>
            </w:r>
            <w:r w:rsidR="00EA21F3" w:rsidRPr="00C76CE5">
              <w:rPr>
                <w:color w:val="auto"/>
              </w:rPr>
              <w:t>n</w:t>
            </w:r>
            <w:r w:rsidRPr="00C76CE5">
              <w:rPr>
                <w:color w:val="auto"/>
              </w:rPr>
              <w:t>ame</w:t>
            </w:r>
          </w:p>
        </w:tc>
        <w:tc>
          <w:tcPr>
            <w:tcW w:w="31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06FAEC" w14:textId="414156E7" w:rsidR="00F33D4A" w:rsidRPr="00C76CE5" w:rsidRDefault="00034D5D" w:rsidP="00ED0CD9">
            <w:pPr>
              <w:tabs>
                <w:tab w:val="center" w:pos="4513"/>
                <w:tab w:val="right" w:pos="9026"/>
              </w:tabs>
              <w:spacing w:before="0"/>
              <w:rPr>
                <w:color w:val="auto"/>
              </w:rPr>
            </w:pPr>
            <w:r w:rsidRPr="00C76CE5">
              <w:rPr>
                <w:color w:val="auto"/>
              </w:rPr>
              <w:t>AstraZeneca PLC</w:t>
            </w:r>
          </w:p>
        </w:tc>
        <w:tc>
          <w:tcPr>
            <w:tcW w:w="351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D518DB" w14:textId="1836649E" w:rsidR="00F33D4A" w:rsidRPr="00C76CE5" w:rsidRDefault="00416C6B" w:rsidP="00ED0CD9">
            <w:pPr>
              <w:tabs>
                <w:tab w:val="center" w:pos="4513"/>
                <w:tab w:val="right" w:pos="9026"/>
              </w:tabs>
              <w:spacing w:before="0"/>
              <w:rPr>
                <w:color w:val="auto"/>
              </w:rPr>
            </w:pPr>
            <w:r w:rsidRPr="00C76CE5">
              <w:rPr>
                <w:color w:val="auto"/>
              </w:rPr>
              <w:t>Shell Plc</w:t>
            </w:r>
          </w:p>
        </w:tc>
      </w:tr>
      <w:tr w:rsidR="00F33D4A" w:rsidRPr="00C76CE5" w14:paraId="659DB769" w14:textId="77777777" w:rsidTr="00B53380">
        <w:trPr>
          <w:cnfStyle w:val="000000100000" w:firstRow="0" w:lastRow="0" w:firstColumn="0" w:lastColumn="0" w:oddVBand="0" w:evenVBand="0" w:oddHBand="1" w:evenHBand="0" w:firstRowFirstColumn="0" w:firstRowLastColumn="0" w:lastRowFirstColumn="0" w:lastRowLastColumn="0"/>
          <w:trHeight w:val="567"/>
        </w:trPr>
        <w:tc>
          <w:tcPr>
            <w:tcW w:w="2547" w:type="dxa"/>
          </w:tcPr>
          <w:p w14:paraId="4FF3FA23" w14:textId="79BEBE50" w:rsidR="00F33D4A" w:rsidRPr="00C76CE5" w:rsidRDefault="00F33D4A" w:rsidP="00ED0CD9">
            <w:pPr>
              <w:tabs>
                <w:tab w:val="center" w:pos="4513"/>
                <w:tab w:val="right" w:pos="9026"/>
              </w:tabs>
              <w:spacing w:before="0" w:after="0"/>
              <w:rPr>
                <w:b/>
              </w:rPr>
            </w:pPr>
            <w:r w:rsidRPr="00C76CE5">
              <w:rPr>
                <w:b/>
              </w:rPr>
              <w:t xml:space="preserve">Date of </w:t>
            </w:r>
            <w:r w:rsidR="00EA21F3" w:rsidRPr="00C76CE5">
              <w:rPr>
                <w:b/>
              </w:rPr>
              <w:t>v</w:t>
            </w:r>
            <w:r w:rsidRPr="00C76CE5">
              <w:rPr>
                <w:b/>
              </w:rPr>
              <w:t>ote</w:t>
            </w:r>
          </w:p>
        </w:tc>
        <w:tc>
          <w:tcPr>
            <w:tcW w:w="3118" w:type="dxa"/>
          </w:tcPr>
          <w:p w14:paraId="5DCFEC93" w14:textId="4F95E576" w:rsidR="00F33D4A" w:rsidRPr="00C76CE5" w:rsidRDefault="00EB4FA6" w:rsidP="00ED0CD9">
            <w:pPr>
              <w:tabs>
                <w:tab w:val="center" w:pos="4513"/>
                <w:tab w:val="right" w:pos="9026"/>
              </w:tabs>
              <w:spacing w:before="0" w:after="0"/>
            </w:pPr>
            <w:r w:rsidRPr="00C76CE5">
              <w:t>April</w:t>
            </w:r>
            <w:r w:rsidR="00B53380" w:rsidRPr="00C76CE5">
              <w:t xml:space="preserve"> </w:t>
            </w:r>
            <w:r w:rsidR="00345143" w:rsidRPr="00C76CE5">
              <w:t>20</w:t>
            </w:r>
            <w:r w:rsidR="00B53380" w:rsidRPr="00C76CE5">
              <w:t>2</w:t>
            </w:r>
            <w:r w:rsidRPr="00C76CE5">
              <w:t>4</w:t>
            </w:r>
          </w:p>
        </w:tc>
        <w:tc>
          <w:tcPr>
            <w:tcW w:w="3515" w:type="dxa"/>
          </w:tcPr>
          <w:p w14:paraId="0CB3B7C5" w14:textId="026D012F" w:rsidR="00F33D4A" w:rsidRPr="00C76CE5" w:rsidRDefault="006E120D" w:rsidP="00ED0CD9">
            <w:pPr>
              <w:tabs>
                <w:tab w:val="center" w:pos="4513"/>
                <w:tab w:val="right" w:pos="9026"/>
              </w:tabs>
              <w:spacing w:before="0" w:after="0"/>
            </w:pPr>
            <w:r w:rsidRPr="00C76CE5">
              <w:t xml:space="preserve">May </w:t>
            </w:r>
            <w:r w:rsidR="00345143" w:rsidRPr="00C76CE5">
              <w:t>20</w:t>
            </w:r>
            <w:r w:rsidRPr="00C76CE5">
              <w:t>2</w:t>
            </w:r>
            <w:r w:rsidR="00034D5D" w:rsidRPr="00C76CE5">
              <w:t>4</w:t>
            </w:r>
          </w:p>
        </w:tc>
      </w:tr>
      <w:tr w:rsidR="00F33D4A" w:rsidRPr="00C76CE5" w14:paraId="42B05419" w14:textId="77777777" w:rsidTr="00B53380">
        <w:trPr>
          <w:cnfStyle w:val="000000010000" w:firstRow="0" w:lastRow="0" w:firstColumn="0" w:lastColumn="0" w:oddVBand="0" w:evenVBand="0" w:oddHBand="0" w:evenHBand="1" w:firstRowFirstColumn="0" w:firstRowLastColumn="0" w:lastRowFirstColumn="0" w:lastRowLastColumn="0"/>
          <w:trHeight w:val="567"/>
        </w:trPr>
        <w:tc>
          <w:tcPr>
            <w:tcW w:w="2547" w:type="dxa"/>
          </w:tcPr>
          <w:p w14:paraId="6E9235D9" w14:textId="77777777" w:rsidR="00F33D4A" w:rsidRPr="00C76CE5" w:rsidRDefault="00F33D4A" w:rsidP="00ED0CD9">
            <w:pPr>
              <w:tabs>
                <w:tab w:val="center" w:pos="4513"/>
                <w:tab w:val="right" w:pos="9026"/>
              </w:tabs>
              <w:spacing w:before="0" w:after="0"/>
              <w:rPr>
                <w:b/>
              </w:rPr>
            </w:pPr>
            <w:r w:rsidRPr="00C76CE5">
              <w:rPr>
                <w:b/>
              </w:rPr>
              <w:t>Summary of the resolution</w:t>
            </w:r>
          </w:p>
        </w:tc>
        <w:tc>
          <w:tcPr>
            <w:tcW w:w="3118" w:type="dxa"/>
          </w:tcPr>
          <w:p w14:paraId="7A28A596" w14:textId="02D2ECA2" w:rsidR="00F33D4A" w:rsidRPr="00C76CE5" w:rsidRDefault="00EB4FA6" w:rsidP="00ED0CD9">
            <w:pPr>
              <w:tabs>
                <w:tab w:val="center" w:pos="4513"/>
                <w:tab w:val="right" w:pos="9026"/>
              </w:tabs>
              <w:spacing w:before="0" w:after="0"/>
            </w:pPr>
            <w:r w:rsidRPr="00C76CE5">
              <w:t>Approve Remuneration Report</w:t>
            </w:r>
          </w:p>
        </w:tc>
        <w:tc>
          <w:tcPr>
            <w:tcW w:w="3515" w:type="dxa"/>
          </w:tcPr>
          <w:p w14:paraId="04657118" w14:textId="0C09A5A3" w:rsidR="00F33D4A" w:rsidRPr="00C76CE5" w:rsidRDefault="00FF349C" w:rsidP="00ED0CD9">
            <w:pPr>
              <w:tabs>
                <w:tab w:val="center" w:pos="4513"/>
                <w:tab w:val="right" w:pos="9026"/>
              </w:tabs>
              <w:spacing w:before="0" w:after="0"/>
            </w:pPr>
            <w:r w:rsidRPr="00C76CE5">
              <w:t>Advise Shell to Align its Medium-Term Emissions Reduction Targets Covering the Greenhouse Gas (GHG) Emissions of the Use of its Energy Products (Scope 3) with the Goal of the Paris Climate Agreement</w:t>
            </w:r>
          </w:p>
        </w:tc>
      </w:tr>
      <w:tr w:rsidR="00F33D4A" w:rsidRPr="00C76CE5" w14:paraId="32B714EE" w14:textId="77777777" w:rsidTr="00B53380">
        <w:trPr>
          <w:cnfStyle w:val="000000100000" w:firstRow="0" w:lastRow="0" w:firstColumn="0" w:lastColumn="0" w:oddVBand="0" w:evenVBand="0" w:oddHBand="1" w:evenHBand="0" w:firstRowFirstColumn="0" w:firstRowLastColumn="0" w:lastRowFirstColumn="0" w:lastRowLastColumn="0"/>
          <w:trHeight w:val="567"/>
        </w:trPr>
        <w:tc>
          <w:tcPr>
            <w:tcW w:w="2547" w:type="dxa"/>
          </w:tcPr>
          <w:p w14:paraId="01972DA2" w14:textId="77777777" w:rsidR="00F33D4A" w:rsidRPr="00C76CE5" w:rsidRDefault="00F33D4A" w:rsidP="00ED0CD9">
            <w:pPr>
              <w:tabs>
                <w:tab w:val="center" w:pos="4513"/>
                <w:tab w:val="right" w:pos="9026"/>
              </w:tabs>
              <w:spacing w:before="0" w:after="0"/>
              <w:rPr>
                <w:b/>
              </w:rPr>
            </w:pPr>
            <w:r w:rsidRPr="00C76CE5">
              <w:rPr>
                <w:b/>
              </w:rPr>
              <w:t>Size of the holding (% of portfolio)</w:t>
            </w:r>
          </w:p>
        </w:tc>
        <w:tc>
          <w:tcPr>
            <w:tcW w:w="3118" w:type="dxa"/>
          </w:tcPr>
          <w:p w14:paraId="1FBE5E92" w14:textId="64241D3A" w:rsidR="00F33D4A" w:rsidRPr="00C76CE5" w:rsidRDefault="00B53380" w:rsidP="00ED0CD9">
            <w:pPr>
              <w:tabs>
                <w:tab w:val="center" w:pos="4513"/>
                <w:tab w:val="right" w:pos="9026"/>
              </w:tabs>
              <w:spacing w:before="0" w:after="0"/>
            </w:pPr>
            <w:r w:rsidRPr="00C76CE5">
              <w:t>0.</w:t>
            </w:r>
            <w:r w:rsidR="00F71A15" w:rsidRPr="00C76CE5">
              <w:t>4</w:t>
            </w:r>
          </w:p>
        </w:tc>
        <w:tc>
          <w:tcPr>
            <w:tcW w:w="3515" w:type="dxa"/>
          </w:tcPr>
          <w:p w14:paraId="653EBBCA" w14:textId="5885FDDF" w:rsidR="00F33D4A" w:rsidRPr="00C76CE5" w:rsidRDefault="00FF349C" w:rsidP="00ED0CD9">
            <w:pPr>
              <w:tabs>
                <w:tab w:val="center" w:pos="4513"/>
                <w:tab w:val="right" w:pos="9026"/>
              </w:tabs>
              <w:spacing w:before="0" w:after="0"/>
            </w:pPr>
            <w:r w:rsidRPr="00C76CE5">
              <w:t>1.1</w:t>
            </w:r>
          </w:p>
        </w:tc>
      </w:tr>
      <w:tr w:rsidR="00F33D4A" w:rsidRPr="00C76CE5" w14:paraId="7D014DDB" w14:textId="77777777" w:rsidTr="00B53380">
        <w:trPr>
          <w:cnfStyle w:val="000000010000" w:firstRow="0" w:lastRow="0" w:firstColumn="0" w:lastColumn="0" w:oddVBand="0" w:evenVBand="0" w:oddHBand="0" w:evenHBand="1" w:firstRowFirstColumn="0" w:firstRowLastColumn="0" w:lastRowFirstColumn="0" w:lastRowLastColumn="0"/>
          <w:trHeight w:val="567"/>
        </w:trPr>
        <w:tc>
          <w:tcPr>
            <w:tcW w:w="2547" w:type="dxa"/>
          </w:tcPr>
          <w:p w14:paraId="34AAB6D8" w14:textId="77777777" w:rsidR="00F33D4A" w:rsidRPr="00C76CE5" w:rsidRDefault="00F33D4A" w:rsidP="00ED0CD9">
            <w:pPr>
              <w:tabs>
                <w:tab w:val="center" w:pos="4513"/>
                <w:tab w:val="right" w:pos="9026"/>
              </w:tabs>
              <w:spacing w:before="0" w:after="0"/>
              <w:rPr>
                <w:b/>
              </w:rPr>
            </w:pPr>
            <w:r w:rsidRPr="00C76CE5">
              <w:rPr>
                <w:b/>
              </w:rPr>
              <w:t>How the firm voted</w:t>
            </w:r>
          </w:p>
        </w:tc>
        <w:tc>
          <w:tcPr>
            <w:tcW w:w="3118" w:type="dxa"/>
          </w:tcPr>
          <w:p w14:paraId="143541C8" w14:textId="248FBEAD" w:rsidR="00F33D4A" w:rsidRPr="00C76CE5" w:rsidRDefault="00034D5D" w:rsidP="00ED0CD9">
            <w:pPr>
              <w:tabs>
                <w:tab w:val="center" w:pos="4513"/>
                <w:tab w:val="right" w:pos="9026"/>
              </w:tabs>
              <w:spacing w:before="0" w:after="0"/>
            </w:pPr>
            <w:r w:rsidRPr="00C76CE5">
              <w:t>For</w:t>
            </w:r>
          </w:p>
        </w:tc>
        <w:tc>
          <w:tcPr>
            <w:tcW w:w="3515" w:type="dxa"/>
          </w:tcPr>
          <w:p w14:paraId="5A2949CE" w14:textId="38289CD5" w:rsidR="00F33D4A" w:rsidRPr="00C76CE5" w:rsidRDefault="00FF349C" w:rsidP="00ED0CD9">
            <w:pPr>
              <w:tabs>
                <w:tab w:val="center" w:pos="4513"/>
                <w:tab w:val="right" w:pos="9026"/>
              </w:tabs>
              <w:spacing w:before="0" w:after="0"/>
            </w:pPr>
            <w:r w:rsidRPr="00C76CE5">
              <w:t>Against</w:t>
            </w:r>
          </w:p>
        </w:tc>
      </w:tr>
      <w:tr w:rsidR="00F33D4A" w:rsidRPr="00C76CE5" w14:paraId="668ACF6B" w14:textId="77777777" w:rsidTr="00B53380">
        <w:trPr>
          <w:cnfStyle w:val="000000100000" w:firstRow="0" w:lastRow="0" w:firstColumn="0" w:lastColumn="0" w:oddVBand="0" w:evenVBand="0" w:oddHBand="1" w:evenHBand="0" w:firstRowFirstColumn="0" w:firstRowLastColumn="0" w:lastRowFirstColumn="0" w:lastRowLastColumn="0"/>
          <w:trHeight w:val="1247"/>
        </w:trPr>
        <w:tc>
          <w:tcPr>
            <w:tcW w:w="2547" w:type="dxa"/>
          </w:tcPr>
          <w:p w14:paraId="3614CB96" w14:textId="7CD7A65D" w:rsidR="00F33D4A" w:rsidRPr="00C76CE5" w:rsidRDefault="00F33D4A" w:rsidP="00ED0CD9">
            <w:pPr>
              <w:tabs>
                <w:tab w:val="center" w:pos="4513"/>
                <w:tab w:val="right" w:pos="9026"/>
              </w:tabs>
              <w:spacing w:before="0" w:after="0"/>
              <w:rPr>
                <w:b/>
              </w:rPr>
            </w:pPr>
            <w:r w:rsidRPr="00C76CE5">
              <w:rPr>
                <w:b/>
              </w:rPr>
              <w:t>W</w:t>
            </w:r>
            <w:r w:rsidR="00B53380" w:rsidRPr="00C76CE5">
              <w:rPr>
                <w:b/>
              </w:rPr>
              <w:t>here</w:t>
            </w:r>
            <w:r w:rsidRPr="00C76CE5">
              <w:rPr>
                <w:b/>
              </w:rPr>
              <w:t xml:space="preserve"> the vote </w:t>
            </w:r>
            <w:r w:rsidR="00B53380" w:rsidRPr="00C76CE5">
              <w:rPr>
                <w:b/>
              </w:rPr>
              <w:t xml:space="preserve">was </w:t>
            </w:r>
            <w:r w:rsidRPr="00C76CE5">
              <w:rPr>
                <w:b/>
              </w:rPr>
              <w:t>against management was this</w:t>
            </w:r>
            <w:r w:rsidR="00B53380" w:rsidRPr="00C76CE5">
              <w:rPr>
                <w:b/>
              </w:rPr>
              <w:t xml:space="preserve"> </w:t>
            </w:r>
            <w:r w:rsidRPr="00C76CE5">
              <w:rPr>
                <w:b/>
              </w:rPr>
              <w:t>communicated beforehand?</w:t>
            </w:r>
          </w:p>
        </w:tc>
        <w:tc>
          <w:tcPr>
            <w:tcW w:w="3118" w:type="dxa"/>
          </w:tcPr>
          <w:p w14:paraId="56D30B3D" w14:textId="1E16E53A" w:rsidR="00F33D4A" w:rsidRPr="00C76CE5" w:rsidRDefault="00B53380" w:rsidP="00ED0CD9">
            <w:pPr>
              <w:tabs>
                <w:tab w:val="center" w:pos="4513"/>
                <w:tab w:val="right" w:pos="9026"/>
              </w:tabs>
              <w:spacing w:before="0" w:after="0"/>
            </w:pPr>
            <w:r w:rsidRPr="00C76CE5">
              <w:t>N</w:t>
            </w:r>
            <w:r w:rsidR="004E467A">
              <w:t>o</w:t>
            </w:r>
          </w:p>
        </w:tc>
        <w:tc>
          <w:tcPr>
            <w:tcW w:w="3515" w:type="dxa"/>
          </w:tcPr>
          <w:p w14:paraId="79630384" w14:textId="0020552A" w:rsidR="00F33D4A" w:rsidRPr="00C76CE5" w:rsidRDefault="004E467A" w:rsidP="00ED0CD9">
            <w:pPr>
              <w:tabs>
                <w:tab w:val="center" w:pos="4513"/>
                <w:tab w:val="right" w:pos="9026"/>
              </w:tabs>
              <w:spacing w:before="0" w:after="0"/>
            </w:pPr>
            <w:r>
              <w:t>No</w:t>
            </w:r>
          </w:p>
        </w:tc>
      </w:tr>
      <w:tr w:rsidR="00F33D4A" w:rsidRPr="00C76CE5" w14:paraId="03D93B12" w14:textId="77777777" w:rsidTr="00D16CD3">
        <w:trPr>
          <w:cnfStyle w:val="000000010000" w:firstRow="0" w:lastRow="0" w:firstColumn="0" w:lastColumn="0" w:oddVBand="0" w:evenVBand="0" w:oddHBand="0" w:evenHBand="1" w:firstRowFirstColumn="0" w:firstRowLastColumn="0" w:lastRowFirstColumn="0" w:lastRowLastColumn="0"/>
          <w:trHeight w:val="1690"/>
        </w:trPr>
        <w:tc>
          <w:tcPr>
            <w:tcW w:w="2547" w:type="dxa"/>
          </w:tcPr>
          <w:p w14:paraId="76442E6F" w14:textId="77777777" w:rsidR="00F33D4A" w:rsidRPr="00C76CE5" w:rsidRDefault="00F33D4A" w:rsidP="00ED0CD9">
            <w:pPr>
              <w:tabs>
                <w:tab w:val="center" w:pos="4513"/>
                <w:tab w:val="right" w:pos="9026"/>
              </w:tabs>
              <w:spacing w:before="0" w:after="0"/>
              <w:rPr>
                <w:b/>
              </w:rPr>
            </w:pPr>
            <w:r w:rsidRPr="00C76CE5">
              <w:rPr>
                <w:b/>
              </w:rPr>
              <w:t>On which criteria has the vote been deemed as ‘significant’?</w:t>
            </w:r>
          </w:p>
        </w:tc>
        <w:tc>
          <w:tcPr>
            <w:tcW w:w="3118" w:type="dxa"/>
          </w:tcPr>
          <w:p w14:paraId="30B64E1D" w14:textId="58CF46E3" w:rsidR="00F33D4A" w:rsidRPr="00C76CE5" w:rsidRDefault="00034D5D" w:rsidP="00ED0CD9">
            <w:pPr>
              <w:tabs>
                <w:tab w:val="center" w:pos="4513"/>
                <w:tab w:val="right" w:pos="9026"/>
              </w:tabs>
              <w:spacing w:before="0" w:after="0"/>
            </w:pPr>
            <w:r w:rsidRPr="00C76CE5">
              <w:t>The vote was deemed significant due to its strategic importance, impact on shareholder value, risk of leadership disruption, industry benchmarking, and strong shareholder support. It aligns with the investment case, emphasizing the need to retain and compensate effective leadership.</w:t>
            </w:r>
          </w:p>
        </w:tc>
        <w:tc>
          <w:tcPr>
            <w:tcW w:w="3515" w:type="dxa"/>
          </w:tcPr>
          <w:p w14:paraId="5CDF76B1" w14:textId="06A500BC" w:rsidR="00F33D4A" w:rsidRPr="00C76CE5" w:rsidRDefault="00FF349C">
            <w:pPr>
              <w:tabs>
                <w:tab w:val="center" w:pos="4513"/>
                <w:tab w:val="right" w:pos="9026"/>
              </w:tabs>
              <w:spacing w:before="0" w:after="0"/>
            </w:pPr>
            <w:r w:rsidRPr="00C76CE5">
              <w:t xml:space="preserve">Shareholders have signalled a significant buy-in to management’s strategy. While there are some merits to the proponent's asks and legitimate concerns, aligning Scope 3 targets at Shell to a 1.5-degree scenario would mean a significant loss of customers to competitors. Such a decision is best in the hands of management, and the disclosure of a partial Scope 3 target shows some responsiveness from the company with concerns, tackling mainly the emissions it directly has control of. </w:t>
            </w:r>
          </w:p>
        </w:tc>
      </w:tr>
      <w:tr w:rsidR="00F33D4A" w:rsidRPr="00C76CE5" w14:paraId="536E07F5" w14:textId="77777777" w:rsidTr="00B53380">
        <w:trPr>
          <w:cnfStyle w:val="000000100000" w:firstRow="0" w:lastRow="0" w:firstColumn="0" w:lastColumn="0" w:oddVBand="0" w:evenVBand="0" w:oddHBand="1" w:evenHBand="0" w:firstRowFirstColumn="0" w:firstRowLastColumn="0" w:lastRowFirstColumn="0" w:lastRowLastColumn="0"/>
          <w:trHeight w:val="567"/>
        </w:trPr>
        <w:tc>
          <w:tcPr>
            <w:tcW w:w="2547" w:type="dxa"/>
          </w:tcPr>
          <w:p w14:paraId="3FBBE20D" w14:textId="77777777" w:rsidR="00F33D4A" w:rsidRPr="00C76CE5" w:rsidRDefault="00F33D4A" w:rsidP="00ED0CD9">
            <w:pPr>
              <w:tabs>
                <w:tab w:val="center" w:pos="4513"/>
                <w:tab w:val="right" w:pos="9026"/>
              </w:tabs>
              <w:spacing w:before="0" w:after="0"/>
              <w:rPr>
                <w:b/>
              </w:rPr>
            </w:pPr>
            <w:r w:rsidRPr="00C76CE5">
              <w:rPr>
                <w:b/>
                <w:szCs w:val="22"/>
              </w:rPr>
              <w:t>Outcome of the vote</w:t>
            </w:r>
          </w:p>
        </w:tc>
        <w:tc>
          <w:tcPr>
            <w:tcW w:w="3118" w:type="dxa"/>
          </w:tcPr>
          <w:p w14:paraId="25DBF5A0" w14:textId="7BEC153C" w:rsidR="00F33D4A" w:rsidRPr="00C76CE5" w:rsidRDefault="00B53380" w:rsidP="00ED0CD9">
            <w:pPr>
              <w:tabs>
                <w:tab w:val="center" w:pos="4513"/>
                <w:tab w:val="right" w:pos="9026"/>
              </w:tabs>
              <w:spacing w:before="0" w:after="0"/>
            </w:pPr>
            <w:r w:rsidRPr="00C76CE5">
              <w:t>The vote passed</w:t>
            </w:r>
          </w:p>
        </w:tc>
        <w:tc>
          <w:tcPr>
            <w:tcW w:w="3515" w:type="dxa"/>
          </w:tcPr>
          <w:p w14:paraId="026AB9FE" w14:textId="3AE8620C" w:rsidR="00F33D4A" w:rsidRPr="00C76CE5" w:rsidRDefault="006E120D" w:rsidP="00ED0CD9">
            <w:pPr>
              <w:tabs>
                <w:tab w:val="center" w:pos="4513"/>
                <w:tab w:val="right" w:pos="9026"/>
              </w:tabs>
              <w:spacing w:before="0" w:after="0"/>
            </w:pPr>
            <w:r w:rsidRPr="00C76CE5">
              <w:t xml:space="preserve">The vote </w:t>
            </w:r>
            <w:r w:rsidR="00121CA4">
              <w:t xml:space="preserve">did not </w:t>
            </w:r>
            <w:r w:rsidRPr="00C76CE5">
              <w:t>pass</w:t>
            </w:r>
            <w:r w:rsidR="00416C6B" w:rsidRPr="00C76CE5">
              <w:t>.</w:t>
            </w:r>
          </w:p>
        </w:tc>
      </w:tr>
      <w:tr w:rsidR="00F33D4A" w:rsidRPr="00C76CE5" w14:paraId="742D67C9" w14:textId="77777777" w:rsidTr="00D16CD3">
        <w:trPr>
          <w:cnfStyle w:val="000000010000" w:firstRow="0" w:lastRow="0" w:firstColumn="0" w:lastColumn="0" w:oddVBand="0" w:evenVBand="0" w:oddHBand="0" w:evenHBand="1" w:firstRowFirstColumn="0" w:firstRowLastColumn="0" w:lastRowFirstColumn="0" w:lastRowLastColumn="0"/>
          <w:trHeight w:val="1203"/>
        </w:trPr>
        <w:tc>
          <w:tcPr>
            <w:tcW w:w="2547" w:type="dxa"/>
          </w:tcPr>
          <w:p w14:paraId="3F34352C" w14:textId="721D4017" w:rsidR="00F33D4A" w:rsidRPr="00C76CE5" w:rsidRDefault="00F33D4A" w:rsidP="00ED0CD9">
            <w:pPr>
              <w:tabs>
                <w:tab w:val="center" w:pos="4513"/>
                <w:tab w:val="right" w:pos="9026"/>
              </w:tabs>
              <w:spacing w:before="0" w:after="0"/>
              <w:rPr>
                <w:b/>
                <w:szCs w:val="22"/>
              </w:rPr>
            </w:pPr>
            <w:r w:rsidRPr="00C76CE5">
              <w:rPr>
                <w:b/>
                <w:szCs w:val="22"/>
              </w:rPr>
              <w:t>Do the Trustee</w:t>
            </w:r>
            <w:r w:rsidR="00416C6B" w:rsidRPr="00C76CE5">
              <w:rPr>
                <w:b/>
                <w:szCs w:val="22"/>
              </w:rPr>
              <w:t>s</w:t>
            </w:r>
            <w:r w:rsidRPr="00C76CE5">
              <w:rPr>
                <w:b/>
                <w:szCs w:val="22"/>
              </w:rPr>
              <w:t>/ asset manager intend to escalate stewardship efforts?</w:t>
            </w:r>
          </w:p>
        </w:tc>
        <w:tc>
          <w:tcPr>
            <w:tcW w:w="3118" w:type="dxa"/>
          </w:tcPr>
          <w:p w14:paraId="50E8AA6E" w14:textId="4023429B" w:rsidR="00F33D4A" w:rsidRPr="00C76CE5" w:rsidRDefault="00034D5D" w:rsidP="00ED0CD9">
            <w:pPr>
              <w:tabs>
                <w:tab w:val="center" w:pos="4513"/>
                <w:tab w:val="right" w:pos="9026"/>
              </w:tabs>
              <w:spacing w:before="0" w:after="0"/>
            </w:pPr>
            <w:r w:rsidRPr="00C76CE5">
              <w:t>Manager will continue to monitor performance to ensure it aligns with the interests of shareholders.</w:t>
            </w:r>
          </w:p>
        </w:tc>
        <w:tc>
          <w:tcPr>
            <w:tcW w:w="3515" w:type="dxa"/>
          </w:tcPr>
          <w:p w14:paraId="08DF28D0" w14:textId="0F47083F" w:rsidR="00F33D4A" w:rsidRPr="00C76CE5" w:rsidRDefault="00C76CE5" w:rsidP="00ED0CD9">
            <w:pPr>
              <w:tabs>
                <w:tab w:val="center" w:pos="4513"/>
                <w:tab w:val="right" w:pos="9026"/>
              </w:tabs>
              <w:spacing w:before="0" w:after="0"/>
            </w:pPr>
            <w:r w:rsidRPr="00C76CE5">
              <w:t>Manager will continue to monitor performance to ensure it aligns with the interests of shareholders.</w:t>
            </w:r>
          </w:p>
        </w:tc>
      </w:tr>
    </w:tbl>
    <w:p w14:paraId="23302027" w14:textId="25336418" w:rsidR="00C3163C" w:rsidRPr="002520B6" w:rsidRDefault="00C3163C" w:rsidP="00C3163C">
      <w:pPr>
        <w:rPr>
          <w:sz w:val="18"/>
        </w:rPr>
      </w:pPr>
      <w:r w:rsidRPr="00C76CE5">
        <w:rPr>
          <w:sz w:val="18"/>
        </w:rPr>
        <w:t xml:space="preserve">Source: </w:t>
      </w:r>
      <w:r w:rsidR="00D16CD3" w:rsidRPr="00C76CE5">
        <w:rPr>
          <w:sz w:val="18"/>
        </w:rPr>
        <w:t>BNY Mellon</w:t>
      </w:r>
      <w:r w:rsidR="00416C6B" w:rsidRPr="00C76CE5">
        <w:rPr>
          <w:sz w:val="18"/>
        </w:rPr>
        <w:t>/Newton</w:t>
      </w:r>
    </w:p>
    <w:p w14:paraId="5D8486D8" w14:textId="77777777" w:rsidR="00AB4D85" w:rsidRPr="002520B6" w:rsidRDefault="00AB4D85">
      <w:pPr>
        <w:spacing w:after="0"/>
        <w:rPr>
          <w:rFonts w:cs="Arial"/>
          <w:b/>
          <w:bCs/>
          <w:color w:val="004712" w:themeColor="accent1"/>
          <w:sz w:val="24"/>
          <w:szCs w:val="26"/>
        </w:rPr>
      </w:pPr>
      <w:r w:rsidRPr="002520B6">
        <w:rPr>
          <w:rFonts w:cs="Arial"/>
          <w:b/>
          <w:bCs/>
          <w:color w:val="004712" w:themeColor="accent1"/>
          <w:sz w:val="24"/>
          <w:szCs w:val="26"/>
        </w:rPr>
        <w:br w:type="page"/>
      </w:r>
    </w:p>
    <w:p w14:paraId="5D4F5703" w14:textId="4F704A07" w:rsidR="00D16CD3" w:rsidRPr="002520B6" w:rsidRDefault="00D16CD3" w:rsidP="00C3163C">
      <w:pPr>
        <w:rPr>
          <w:sz w:val="18"/>
        </w:rPr>
      </w:pPr>
      <w:r w:rsidRPr="002520B6">
        <w:rPr>
          <w:rFonts w:cs="Arial"/>
          <w:b/>
          <w:bCs/>
          <w:color w:val="004712" w:themeColor="accent1"/>
          <w:sz w:val="24"/>
          <w:szCs w:val="26"/>
        </w:rPr>
        <w:lastRenderedPageBreak/>
        <w:t xml:space="preserve">Fundsmith </w:t>
      </w:r>
      <w:r w:rsidR="00416C6B" w:rsidRPr="002520B6">
        <w:rPr>
          <w:rFonts w:cs="Arial"/>
          <w:b/>
          <w:bCs/>
          <w:color w:val="004712" w:themeColor="accent1"/>
          <w:sz w:val="24"/>
          <w:szCs w:val="26"/>
        </w:rPr>
        <w:t>Equity</w:t>
      </w:r>
      <w:r w:rsidRPr="002520B6">
        <w:rPr>
          <w:rFonts w:cs="Arial"/>
          <w:b/>
          <w:bCs/>
          <w:color w:val="004712" w:themeColor="accent1"/>
          <w:sz w:val="24"/>
          <w:szCs w:val="26"/>
        </w:rPr>
        <w:t xml:space="preserve"> Fund</w:t>
      </w:r>
    </w:p>
    <w:tbl>
      <w:tblPr>
        <w:tblStyle w:val="QuantumBandedTable"/>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260"/>
        <w:gridCol w:w="3373"/>
      </w:tblGrid>
      <w:tr w:rsidR="00D16CD3" w:rsidRPr="002520B6" w14:paraId="6801DB60" w14:textId="77777777" w:rsidTr="001359D2">
        <w:trPr>
          <w:cnfStyle w:val="100000000000" w:firstRow="1" w:lastRow="0" w:firstColumn="0" w:lastColumn="0" w:oddVBand="0" w:evenVBand="0" w:oddHBand="0" w:evenHBand="0" w:firstRowFirstColumn="0" w:firstRowLastColumn="0" w:lastRowFirstColumn="0" w:lastRowLastColumn="0"/>
          <w:trHeight w:val="567"/>
        </w:trPr>
        <w:tc>
          <w:tcPr>
            <w:tcW w:w="254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7D9605" w14:textId="21D4C95C" w:rsidR="00D16CD3" w:rsidRPr="00C76CE5" w:rsidRDefault="00D16CD3" w:rsidP="00B6405C">
            <w:pPr>
              <w:tabs>
                <w:tab w:val="center" w:pos="4513"/>
                <w:tab w:val="right" w:pos="9026"/>
              </w:tabs>
              <w:spacing w:before="0"/>
              <w:rPr>
                <w:color w:val="auto"/>
              </w:rPr>
            </w:pPr>
            <w:r w:rsidRPr="00C76CE5">
              <w:rPr>
                <w:color w:val="auto"/>
              </w:rPr>
              <w:t xml:space="preserve">Company </w:t>
            </w:r>
            <w:r w:rsidR="00416C6B" w:rsidRPr="00C76CE5">
              <w:rPr>
                <w:color w:val="auto"/>
              </w:rPr>
              <w:t>n</w:t>
            </w:r>
            <w:r w:rsidRPr="00C76CE5">
              <w:rPr>
                <w:color w:val="auto"/>
              </w:rPr>
              <w:t>ame</w:t>
            </w:r>
          </w:p>
        </w:tc>
        <w:tc>
          <w:tcPr>
            <w:tcW w:w="32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F1284B" w14:textId="33F2AEFD" w:rsidR="00D16CD3" w:rsidRPr="00C76CE5" w:rsidRDefault="00FF349C" w:rsidP="00B6405C">
            <w:pPr>
              <w:tabs>
                <w:tab w:val="center" w:pos="4513"/>
                <w:tab w:val="right" w:pos="9026"/>
              </w:tabs>
              <w:spacing w:before="0"/>
              <w:rPr>
                <w:color w:val="auto"/>
              </w:rPr>
            </w:pPr>
            <w:r w:rsidRPr="00C76CE5">
              <w:rPr>
                <w:color w:val="auto"/>
              </w:rPr>
              <w:t>Visa</w:t>
            </w:r>
          </w:p>
        </w:tc>
        <w:tc>
          <w:tcPr>
            <w:tcW w:w="337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A37D12" w14:textId="5C980E3B" w:rsidR="00D16CD3" w:rsidRPr="00C76CE5" w:rsidRDefault="00C76CE5" w:rsidP="00B6405C">
            <w:pPr>
              <w:tabs>
                <w:tab w:val="center" w:pos="4513"/>
                <w:tab w:val="right" w:pos="9026"/>
              </w:tabs>
              <w:spacing w:before="0"/>
              <w:rPr>
                <w:color w:val="auto"/>
              </w:rPr>
            </w:pPr>
            <w:r w:rsidRPr="00C76CE5">
              <w:rPr>
                <w:color w:val="auto"/>
              </w:rPr>
              <w:t>Fortinet</w:t>
            </w:r>
          </w:p>
        </w:tc>
      </w:tr>
      <w:tr w:rsidR="00D16CD3" w:rsidRPr="002520B6" w14:paraId="4C43BCEC" w14:textId="77777777" w:rsidTr="001359D2">
        <w:trPr>
          <w:cnfStyle w:val="000000100000" w:firstRow="0" w:lastRow="0" w:firstColumn="0" w:lastColumn="0" w:oddVBand="0" w:evenVBand="0" w:oddHBand="1" w:evenHBand="0" w:firstRowFirstColumn="0" w:firstRowLastColumn="0" w:lastRowFirstColumn="0" w:lastRowLastColumn="0"/>
          <w:trHeight w:val="567"/>
        </w:trPr>
        <w:tc>
          <w:tcPr>
            <w:tcW w:w="2547" w:type="dxa"/>
          </w:tcPr>
          <w:p w14:paraId="2A49E8CA" w14:textId="02879C67" w:rsidR="00D16CD3" w:rsidRPr="00C76CE5" w:rsidRDefault="00D16CD3" w:rsidP="00B6405C">
            <w:pPr>
              <w:tabs>
                <w:tab w:val="center" w:pos="4513"/>
                <w:tab w:val="right" w:pos="9026"/>
              </w:tabs>
              <w:spacing w:before="0" w:after="0"/>
              <w:rPr>
                <w:b/>
              </w:rPr>
            </w:pPr>
            <w:r w:rsidRPr="00C76CE5">
              <w:rPr>
                <w:b/>
              </w:rPr>
              <w:t xml:space="preserve">Date of </w:t>
            </w:r>
            <w:r w:rsidR="00416C6B" w:rsidRPr="00C76CE5">
              <w:rPr>
                <w:b/>
              </w:rPr>
              <w:t>v</w:t>
            </w:r>
            <w:r w:rsidRPr="00C76CE5">
              <w:rPr>
                <w:b/>
              </w:rPr>
              <w:t>ote</w:t>
            </w:r>
          </w:p>
        </w:tc>
        <w:tc>
          <w:tcPr>
            <w:tcW w:w="3260" w:type="dxa"/>
          </w:tcPr>
          <w:p w14:paraId="70744AF9" w14:textId="178EF281" w:rsidR="00D16CD3" w:rsidRPr="00C76CE5" w:rsidRDefault="00345143" w:rsidP="00B6405C">
            <w:pPr>
              <w:tabs>
                <w:tab w:val="center" w:pos="4513"/>
                <w:tab w:val="right" w:pos="9026"/>
              </w:tabs>
              <w:spacing w:before="0" w:after="0"/>
            </w:pPr>
            <w:r w:rsidRPr="00C76CE5">
              <w:t>Jan</w:t>
            </w:r>
            <w:r w:rsidR="00D16CD3" w:rsidRPr="00C76CE5">
              <w:t xml:space="preserve"> 202</w:t>
            </w:r>
            <w:r w:rsidRPr="00C76CE5">
              <w:t>4</w:t>
            </w:r>
          </w:p>
        </w:tc>
        <w:tc>
          <w:tcPr>
            <w:tcW w:w="3373" w:type="dxa"/>
          </w:tcPr>
          <w:p w14:paraId="386D1823" w14:textId="34E17E52" w:rsidR="00D16CD3" w:rsidRPr="00C76CE5" w:rsidRDefault="00345143" w:rsidP="00B6405C">
            <w:pPr>
              <w:tabs>
                <w:tab w:val="center" w:pos="4513"/>
                <w:tab w:val="right" w:pos="9026"/>
              </w:tabs>
              <w:spacing w:before="0" w:after="0"/>
            </w:pPr>
            <w:r w:rsidRPr="00C76CE5">
              <w:t>June</w:t>
            </w:r>
            <w:r w:rsidR="00D16CD3" w:rsidRPr="00C76CE5">
              <w:t xml:space="preserve"> 202</w:t>
            </w:r>
            <w:r w:rsidRPr="00C76CE5">
              <w:t>4</w:t>
            </w:r>
          </w:p>
        </w:tc>
      </w:tr>
      <w:tr w:rsidR="00D16CD3" w:rsidRPr="002520B6" w14:paraId="0CBE49F4" w14:textId="77777777" w:rsidTr="001359D2">
        <w:trPr>
          <w:cnfStyle w:val="000000010000" w:firstRow="0" w:lastRow="0" w:firstColumn="0" w:lastColumn="0" w:oddVBand="0" w:evenVBand="0" w:oddHBand="0" w:evenHBand="1" w:firstRowFirstColumn="0" w:firstRowLastColumn="0" w:lastRowFirstColumn="0" w:lastRowLastColumn="0"/>
          <w:trHeight w:val="567"/>
        </w:trPr>
        <w:tc>
          <w:tcPr>
            <w:tcW w:w="2547" w:type="dxa"/>
          </w:tcPr>
          <w:p w14:paraId="5DB38B24" w14:textId="77777777" w:rsidR="00D16CD3" w:rsidRPr="00C76CE5" w:rsidRDefault="00D16CD3" w:rsidP="00B6405C">
            <w:pPr>
              <w:tabs>
                <w:tab w:val="center" w:pos="4513"/>
                <w:tab w:val="right" w:pos="9026"/>
              </w:tabs>
              <w:spacing w:before="0" w:after="0"/>
              <w:rPr>
                <w:b/>
              </w:rPr>
            </w:pPr>
            <w:r w:rsidRPr="00C76CE5">
              <w:rPr>
                <w:b/>
              </w:rPr>
              <w:t>Summary of the resolution</w:t>
            </w:r>
          </w:p>
        </w:tc>
        <w:tc>
          <w:tcPr>
            <w:tcW w:w="3260" w:type="dxa"/>
          </w:tcPr>
          <w:p w14:paraId="4BEDC303" w14:textId="00063197" w:rsidR="00D16CD3" w:rsidRPr="00C76CE5" w:rsidRDefault="00345143" w:rsidP="00B6405C">
            <w:pPr>
              <w:tabs>
                <w:tab w:val="center" w:pos="4513"/>
                <w:tab w:val="right" w:pos="9026"/>
              </w:tabs>
              <w:spacing w:before="0" w:after="0"/>
            </w:pPr>
            <w:r w:rsidRPr="00C76CE5">
              <w:t>Shareholder proposal - to limit golden parachute payments.</w:t>
            </w:r>
          </w:p>
        </w:tc>
        <w:tc>
          <w:tcPr>
            <w:tcW w:w="3373" w:type="dxa"/>
          </w:tcPr>
          <w:p w14:paraId="7B5F293F" w14:textId="20AFA1D3" w:rsidR="00D16CD3" w:rsidRPr="00C76CE5" w:rsidRDefault="00C76CE5" w:rsidP="00B6405C">
            <w:pPr>
              <w:tabs>
                <w:tab w:val="center" w:pos="4513"/>
                <w:tab w:val="right" w:pos="9026"/>
              </w:tabs>
              <w:spacing w:before="0" w:after="0"/>
            </w:pPr>
            <w:r w:rsidRPr="00C76CE5">
              <w:t>Advisory vote to approve named executive officer compensation, as disclosed in the Proxy Statement.</w:t>
            </w:r>
          </w:p>
        </w:tc>
      </w:tr>
      <w:tr w:rsidR="00D16CD3" w:rsidRPr="002520B6" w14:paraId="643FDEE6" w14:textId="77777777" w:rsidTr="001359D2">
        <w:trPr>
          <w:cnfStyle w:val="000000100000" w:firstRow="0" w:lastRow="0" w:firstColumn="0" w:lastColumn="0" w:oddVBand="0" w:evenVBand="0" w:oddHBand="1" w:evenHBand="0" w:firstRowFirstColumn="0" w:firstRowLastColumn="0" w:lastRowFirstColumn="0" w:lastRowLastColumn="0"/>
          <w:trHeight w:val="567"/>
        </w:trPr>
        <w:tc>
          <w:tcPr>
            <w:tcW w:w="2547" w:type="dxa"/>
          </w:tcPr>
          <w:p w14:paraId="7B27D70D" w14:textId="77777777" w:rsidR="00D16CD3" w:rsidRPr="00C76CE5" w:rsidRDefault="00D16CD3" w:rsidP="00B6405C">
            <w:pPr>
              <w:tabs>
                <w:tab w:val="center" w:pos="4513"/>
                <w:tab w:val="right" w:pos="9026"/>
              </w:tabs>
              <w:spacing w:before="0" w:after="0"/>
              <w:rPr>
                <w:b/>
              </w:rPr>
            </w:pPr>
            <w:r w:rsidRPr="00C76CE5">
              <w:rPr>
                <w:b/>
              </w:rPr>
              <w:t>Size of the holding (% of portfolio)</w:t>
            </w:r>
          </w:p>
        </w:tc>
        <w:tc>
          <w:tcPr>
            <w:tcW w:w="3260" w:type="dxa"/>
          </w:tcPr>
          <w:p w14:paraId="4271FD84" w14:textId="39FF1A55" w:rsidR="00D16CD3" w:rsidRPr="00C76CE5" w:rsidRDefault="00345143" w:rsidP="00B6405C">
            <w:pPr>
              <w:tabs>
                <w:tab w:val="center" w:pos="4513"/>
                <w:tab w:val="right" w:pos="9026"/>
              </w:tabs>
              <w:spacing w:before="0" w:after="0"/>
            </w:pPr>
            <w:r w:rsidRPr="00C76CE5">
              <w:t>4.5</w:t>
            </w:r>
          </w:p>
        </w:tc>
        <w:tc>
          <w:tcPr>
            <w:tcW w:w="3373" w:type="dxa"/>
          </w:tcPr>
          <w:p w14:paraId="2A178B18" w14:textId="19CE668A" w:rsidR="00D16CD3" w:rsidRPr="00C76CE5" w:rsidRDefault="00C76CE5" w:rsidP="00B6405C">
            <w:pPr>
              <w:tabs>
                <w:tab w:val="center" w:pos="4513"/>
                <w:tab w:val="right" w:pos="9026"/>
              </w:tabs>
              <w:spacing w:before="0" w:after="0"/>
            </w:pPr>
            <w:r w:rsidRPr="00C76CE5">
              <w:t>1.5</w:t>
            </w:r>
          </w:p>
        </w:tc>
      </w:tr>
      <w:tr w:rsidR="00D16CD3" w:rsidRPr="002520B6" w14:paraId="21A79E10" w14:textId="77777777" w:rsidTr="001359D2">
        <w:trPr>
          <w:cnfStyle w:val="000000010000" w:firstRow="0" w:lastRow="0" w:firstColumn="0" w:lastColumn="0" w:oddVBand="0" w:evenVBand="0" w:oddHBand="0" w:evenHBand="1" w:firstRowFirstColumn="0" w:firstRowLastColumn="0" w:lastRowFirstColumn="0" w:lastRowLastColumn="0"/>
          <w:trHeight w:val="567"/>
        </w:trPr>
        <w:tc>
          <w:tcPr>
            <w:tcW w:w="2547" w:type="dxa"/>
          </w:tcPr>
          <w:p w14:paraId="01570CD4" w14:textId="77777777" w:rsidR="00D16CD3" w:rsidRPr="00C76CE5" w:rsidRDefault="00D16CD3" w:rsidP="00B6405C">
            <w:pPr>
              <w:tabs>
                <w:tab w:val="center" w:pos="4513"/>
                <w:tab w:val="right" w:pos="9026"/>
              </w:tabs>
              <w:spacing w:before="0" w:after="0"/>
              <w:rPr>
                <w:b/>
              </w:rPr>
            </w:pPr>
            <w:r w:rsidRPr="00C76CE5">
              <w:rPr>
                <w:b/>
              </w:rPr>
              <w:t>How the firm voted</w:t>
            </w:r>
          </w:p>
        </w:tc>
        <w:tc>
          <w:tcPr>
            <w:tcW w:w="3260" w:type="dxa"/>
          </w:tcPr>
          <w:p w14:paraId="0393CA61" w14:textId="03BE5DB6" w:rsidR="00D16CD3" w:rsidRPr="00C76CE5" w:rsidRDefault="00D16CD3" w:rsidP="00B6405C">
            <w:pPr>
              <w:tabs>
                <w:tab w:val="center" w:pos="4513"/>
                <w:tab w:val="right" w:pos="9026"/>
              </w:tabs>
              <w:spacing w:before="0" w:after="0"/>
            </w:pPr>
            <w:r w:rsidRPr="00C76CE5">
              <w:t>For</w:t>
            </w:r>
          </w:p>
        </w:tc>
        <w:tc>
          <w:tcPr>
            <w:tcW w:w="3373" w:type="dxa"/>
          </w:tcPr>
          <w:p w14:paraId="57C7A8E8" w14:textId="75CE66DF" w:rsidR="00D16CD3" w:rsidRPr="00C76CE5" w:rsidRDefault="00E63CA7" w:rsidP="00B6405C">
            <w:pPr>
              <w:tabs>
                <w:tab w:val="center" w:pos="4513"/>
                <w:tab w:val="right" w:pos="9026"/>
              </w:tabs>
              <w:spacing w:before="0" w:after="0"/>
            </w:pPr>
            <w:r>
              <w:t>Against</w:t>
            </w:r>
          </w:p>
        </w:tc>
      </w:tr>
      <w:tr w:rsidR="00D16CD3" w:rsidRPr="002520B6" w14:paraId="597CC271" w14:textId="77777777" w:rsidTr="001359D2">
        <w:trPr>
          <w:cnfStyle w:val="000000100000" w:firstRow="0" w:lastRow="0" w:firstColumn="0" w:lastColumn="0" w:oddVBand="0" w:evenVBand="0" w:oddHBand="1" w:evenHBand="0" w:firstRowFirstColumn="0" w:firstRowLastColumn="0" w:lastRowFirstColumn="0" w:lastRowLastColumn="0"/>
          <w:trHeight w:val="1247"/>
        </w:trPr>
        <w:tc>
          <w:tcPr>
            <w:tcW w:w="2547" w:type="dxa"/>
          </w:tcPr>
          <w:p w14:paraId="366794DE" w14:textId="77777777" w:rsidR="00D16CD3" w:rsidRPr="00C76CE5" w:rsidRDefault="00D16CD3" w:rsidP="00B6405C">
            <w:pPr>
              <w:tabs>
                <w:tab w:val="center" w:pos="4513"/>
                <w:tab w:val="right" w:pos="9026"/>
              </w:tabs>
              <w:spacing w:before="0" w:after="0"/>
              <w:rPr>
                <w:b/>
              </w:rPr>
            </w:pPr>
            <w:r w:rsidRPr="00C76CE5">
              <w:rPr>
                <w:b/>
              </w:rPr>
              <w:t>Where the vote was against management was this communicated beforehand?</w:t>
            </w:r>
          </w:p>
        </w:tc>
        <w:tc>
          <w:tcPr>
            <w:tcW w:w="3260" w:type="dxa"/>
          </w:tcPr>
          <w:p w14:paraId="3EC6E64F" w14:textId="46548C2A" w:rsidR="00D16CD3" w:rsidRPr="00C76CE5" w:rsidRDefault="00D16CD3" w:rsidP="00B6405C">
            <w:pPr>
              <w:tabs>
                <w:tab w:val="center" w:pos="4513"/>
                <w:tab w:val="right" w:pos="9026"/>
              </w:tabs>
              <w:spacing w:before="0" w:after="0"/>
            </w:pPr>
            <w:r w:rsidRPr="00C76CE5">
              <w:t>No</w:t>
            </w:r>
          </w:p>
        </w:tc>
        <w:tc>
          <w:tcPr>
            <w:tcW w:w="3373" w:type="dxa"/>
          </w:tcPr>
          <w:p w14:paraId="6F7E407C" w14:textId="6F528EB1" w:rsidR="00D16CD3" w:rsidRPr="00C76CE5" w:rsidRDefault="00D16CD3" w:rsidP="00B6405C">
            <w:pPr>
              <w:tabs>
                <w:tab w:val="center" w:pos="4513"/>
                <w:tab w:val="right" w:pos="9026"/>
              </w:tabs>
              <w:spacing w:before="0" w:after="0"/>
            </w:pPr>
            <w:r w:rsidRPr="00C76CE5">
              <w:t>No</w:t>
            </w:r>
          </w:p>
        </w:tc>
      </w:tr>
      <w:tr w:rsidR="00D16CD3" w:rsidRPr="002520B6" w14:paraId="3157FE68" w14:textId="77777777" w:rsidTr="001359D2">
        <w:trPr>
          <w:cnfStyle w:val="000000010000" w:firstRow="0" w:lastRow="0" w:firstColumn="0" w:lastColumn="0" w:oddVBand="0" w:evenVBand="0" w:oddHBand="0" w:evenHBand="1" w:firstRowFirstColumn="0" w:firstRowLastColumn="0" w:lastRowFirstColumn="0" w:lastRowLastColumn="0"/>
          <w:trHeight w:val="1101"/>
        </w:trPr>
        <w:tc>
          <w:tcPr>
            <w:tcW w:w="2547" w:type="dxa"/>
          </w:tcPr>
          <w:p w14:paraId="223C4A63" w14:textId="77777777" w:rsidR="00D16CD3" w:rsidRPr="00C76CE5" w:rsidRDefault="00D16CD3" w:rsidP="00B6405C">
            <w:pPr>
              <w:tabs>
                <w:tab w:val="center" w:pos="4513"/>
                <w:tab w:val="right" w:pos="9026"/>
              </w:tabs>
              <w:spacing w:before="0" w:after="0"/>
              <w:rPr>
                <w:b/>
              </w:rPr>
            </w:pPr>
            <w:r w:rsidRPr="00C76CE5">
              <w:rPr>
                <w:b/>
              </w:rPr>
              <w:t>On which criteria has the vote been deemed as ‘significant’?</w:t>
            </w:r>
          </w:p>
        </w:tc>
        <w:tc>
          <w:tcPr>
            <w:tcW w:w="3260" w:type="dxa"/>
          </w:tcPr>
          <w:p w14:paraId="7DFE6990" w14:textId="249D5CCE" w:rsidR="00D16CD3" w:rsidRPr="00C76CE5" w:rsidRDefault="00416C6B" w:rsidP="00B6405C">
            <w:pPr>
              <w:tabs>
                <w:tab w:val="center" w:pos="4513"/>
                <w:tab w:val="right" w:pos="9026"/>
              </w:tabs>
              <w:spacing w:before="0" w:after="0"/>
            </w:pPr>
            <w:r w:rsidRPr="00C76CE5">
              <w:t xml:space="preserve">Fundsmith feel </w:t>
            </w:r>
            <w:r w:rsidR="00AB4D85" w:rsidRPr="00C76CE5">
              <w:t xml:space="preserve">this vote is significant as </w:t>
            </w:r>
            <w:r w:rsidRPr="00C76CE5">
              <w:t xml:space="preserve">good governance practices are </w:t>
            </w:r>
            <w:r w:rsidR="006475E2">
              <w:t>crucial</w:t>
            </w:r>
            <w:r w:rsidRPr="00C76CE5">
              <w:t>.</w:t>
            </w:r>
          </w:p>
        </w:tc>
        <w:tc>
          <w:tcPr>
            <w:tcW w:w="3373" w:type="dxa"/>
          </w:tcPr>
          <w:p w14:paraId="2424C2F5" w14:textId="43FDFF36" w:rsidR="00D16CD3" w:rsidRPr="00C76CE5" w:rsidRDefault="00345143" w:rsidP="00B6405C">
            <w:pPr>
              <w:tabs>
                <w:tab w:val="center" w:pos="4513"/>
                <w:tab w:val="right" w:pos="9026"/>
              </w:tabs>
              <w:spacing w:before="0" w:after="0"/>
            </w:pPr>
            <w:r w:rsidRPr="00C76CE5">
              <w:t xml:space="preserve">Fundsmith feel </w:t>
            </w:r>
            <w:r w:rsidR="00C76CE5" w:rsidRPr="00C76CE5">
              <w:t>th</w:t>
            </w:r>
            <w:r w:rsidR="00131431">
              <w:t>at</w:t>
            </w:r>
            <w:r w:rsidR="00C76CE5" w:rsidRPr="00C76CE5">
              <w:t xml:space="preserve"> remuneration is a key driver of the long-term sustainability of a business.</w:t>
            </w:r>
          </w:p>
        </w:tc>
      </w:tr>
      <w:tr w:rsidR="00D16CD3" w:rsidRPr="002520B6" w14:paraId="104669CB" w14:textId="77777777" w:rsidTr="001359D2">
        <w:trPr>
          <w:cnfStyle w:val="000000100000" w:firstRow="0" w:lastRow="0" w:firstColumn="0" w:lastColumn="0" w:oddVBand="0" w:evenVBand="0" w:oddHBand="1" w:evenHBand="0" w:firstRowFirstColumn="0" w:firstRowLastColumn="0" w:lastRowFirstColumn="0" w:lastRowLastColumn="0"/>
          <w:trHeight w:val="567"/>
        </w:trPr>
        <w:tc>
          <w:tcPr>
            <w:tcW w:w="2547" w:type="dxa"/>
          </w:tcPr>
          <w:p w14:paraId="17C7A79D" w14:textId="77777777" w:rsidR="00D16CD3" w:rsidRPr="00C76CE5" w:rsidRDefault="00D16CD3" w:rsidP="00B6405C">
            <w:pPr>
              <w:tabs>
                <w:tab w:val="center" w:pos="4513"/>
                <w:tab w:val="right" w:pos="9026"/>
              </w:tabs>
              <w:spacing w:before="0" w:after="0"/>
              <w:rPr>
                <w:b/>
              </w:rPr>
            </w:pPr>
            <w:r w:rsidRPr="00C76CE5">
              <w:rPr>
                <w:b/>
                <w:szCs w:val="22"/>
              </w:rPr>
              <w:t>Outcome of the vote</w:t>
            </w:r>
          </w:p>
        </w:tc>
        <w:tc>
          <w:tcPr>
            <w:tcW w:w="3260" w:type="dxa"/>
          </w:tcPr>
          <w:p w14:paraId="6175DE9E" w14:textId="21914AD5" w:rsidR="00D16CD3" w:rsidRPr="00C76CE5" w:rsidRDefault="00D16CD3" w:rsidP="00B6405C">
            <w:pPr>
              <w:tabs>
                <w:tab w:val="center" w:pos="4513"/>
                <w:tab w:val="right" w:pos="9026"/>
              </w:tabs>
              <w:spacing w:before="0" w:after="0"/>
            </w:pPr>
            <w:r w:rsidRPr="00C76CE5">
              <w:t>The vote did not pass.</w:t>
            </w:r>
          </w:p>
        </w:tc>
        <w:tc>
          <w:tcPr>
            <w:tcW w:w="3373" w:type="dxa"/>
          </w:tcPr>
          <w:p w14:paraId="01EA302A" w14:textId="02349330" w:rsidR="00D16CD3" w:rsidRPr="00C76CE5" w:rsidRDefault="00C76CE5" w:rsidP="00B6405C">
            <w:pPr>
              <w:tabs>
                <w:tab w:val="center" w:pos="4513"/>
                <w:tab w:val="right" w:pos="9026"/>
              </w:tabs>
              <w:spacing w:before="0" w:after="0"/>
            </w:pPr>
            <w:r w:rsidRPr="00C76CE5">
              <w:t>The vote pass</w:t>
            </w:r>
            <w:r w:rsidR="00131431">
              <w:t>ed</w:t>
            </w:r>
            <w:r w:rsidRPr="00C76CE5">
              <w:t>.</w:t>
            </w:r>
          </w:p>
        </w:tc>
      </w:tr>
      <w:tr w:rsidR="00D16CD3" w:rsidRPr="002520B6" w14:paraId="1EE19015" w14:textId="77777777" w:rsidTr="001359D2">
        <w:trPr>
          <w:cnfStyle w:val="000000010000" w:firstRow="0" w:lastRow="0" w:firstColumn="0" w:lastColumn="0" w:oddVBand="0" w:evenVBand="0" w:oddHBand="0" w:evenHBand="1" w:firstRowFirstColumn="0" w:firstRowLastColumn="0" w:lastRowFirstColumn="0" w:lastRowLastColumn="0"/>
          <w:trHeight w:val="1349"/>
        </w:trPr>
        <w:tc>
          <w:tcPr>
            <w:tcW w:w="2547" w:type="dxa"/>
          </w:tcPr>
          <w:p w14:paraId="78553C81" w14:textId="33BCAF90" w:rsidR="00D16CD3" w:rsidRPr="00C76CE5" w:rsidRDefault="00D16CD3" w:rsidP="00B6405C">
            <w:pPr>
              <w:tabs>
                <w:tab w:val="center" w:pos="4513"/>
                <w:tab w:val="right" w:pos="9026"/>
              </w:tabs>
              <w:spacing w:before="0" w:after="0"/>
              <w:rPr>
                <w:b/>
                <w:szCs w:val="22"/>
              </w:rPr>
            </w:pPr>
            <w:r w:rsidRPr="00C76CE5">
              <w:rPr>
                <w:b/>
                <w:szCs w:val="22"/>
              </w:rPr>
              <w:t>Does the Trustee</w:t>
            </w:r>
            <w:r w:rsidR="00416C6B" w:rsidRPr="00C76CE5">
              <w:rPr>
                <w:b/>
                <w:szCs w:val="22"/>
              </w:rPr>
              <w:t>s</w:t>
            </w:r>
            <w:r w:rsidRPr="00C76CE5">
              <w:rPr>
                <w:b/>
                <w:szCs w:val="22"/>
              </w:rPr>
              <w:t>/ asset manager intend to escalate stewardship efforts?</w:t>
            </w:r>
          </w:p>
        </w:tc>
        <w:tc>
          <w:tcPr>
            <w:tcW w:w="3260" w:type="dxa"/>
          </w:tcPr>
          <w:p w14:paraId="78FF14B3" w14:textId="60C05C6B" w:rsidR="00D16CD3" w:rsidRPr="00C76CE5" w:rsidRDefault="00444D5E" w:rsidP="00B6405C">
            <w:pPr>
              <w:tabs>
                <w:tab w:val="center" w:pos="4513"/>
                <w:tab w:val="right" w:pos="9026"/>
              </w:tabs>
              <w:spacing w:before="0" w:after="0"/>
            </w:pPr>
            <w:r w:rsidRPr="00444D5E">
              <w:t>The manager will continue to support such measures at future AGMs</w:t>
            </w:r>
            <w:r>
              <w:t>.</w:t>
            </w:r>
          </w:p>
        </w:tc>
        <w:tc>
          <w:tcPr>
            <w:tcW w:w="3373" w:type="dxa"/>
          </w:tcPr>
          <w:p w14:paraId="6CCA1055" w14:textId="572C7CE6" w:rsidR="00D16CD3" w:rsidRPr="00C76CE5" w:rsidRDefault="00444D5E" w:rsidP="00B6405C">
            <w:pPr>
              <w:tabs>
                <w:tab w:val="center" w:pos="4513"/>
                <w:tab w:val="right" w:pos="9026"/>
              </w:tabs>
              <w:spacing w:before="0" w:after="0"/>
            </w:pPr>
            <w:r w:rsidRPr="00444D5E">
              <w:t>The manager will continue to support such measures at future AGMs</w:t>
            </w:r>
            <w:r>
              <w:t>.</w:t>
            </w:r>
          </w:p>
        </w:tc>
      </w:tr>
    </w:tbl>
    <w:p w14:paraId="4A22CC53" w14:textId="3BCA4D4B" w:rsidR="00AB4D85" w:rsidRDefault="00AB4D85" w:rsidP="00AB4D85">
      <w:pPr>
        <w:rPr>
          <w:sz w:val="18"/>
        </w:rPr>
      </w:pPr>
      <w:r w:rsidRPr="002520B6">
        <w:rPr>
          <w:sz w:val="18"/>
        </w:rPr>
        <w:t>Source: Fundsmith</w:t>
      </w:r>
    </w:p>
    <w:p w14:paraId="38005304" w14:textId="77777777" w:rsidR="00D16CD3" w:rsidRPr="007C4E2E" w:rsidRDefault="00D16CD3" w:rsidP="00C3163C">
      <w:pPr>
        <w:rPr>
          <w:sz w:val="18"/>
        </w:rPr>
      </w:pPr>
    </w:p>
    <w:p w14:paraId="4F2AE17E" w14:textId="77777777" w:rsidR="009E7B7A" w:rsidRPr="00ED04F4" w:rsidRDefault="009E7B7A" w:rsidP="001040F6"/>
    <w:sectPr w:rsidR="009E7B7A" w:rsidRPr="00ED04F4" w:rsidSect="005F4B85">
      <w:headerReference w:type="even" r:id="rId9"/>
      <w:headerReference w:type="default" r:id="rId10"/>
      <w:footerReference w:type="even" r:id="rId11"/>
      <w:footerReference w:type="default" r:id="rId12"/>
      <w:headerReference w:type="first" r:id="rId13"/>
      <w:footerReference w:type="first" r:id="rId14"/>
      <w:pgSz w:w="11906" w:h="16838"/>
      <w:pgMar w:top="2379" w:right="1133" w:bottom="1702" w:left="1304" w:header="709" w:footer="6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02097" w14:textId="77777777" w:rsidR="001A0E72" w:rsidRDefault="001A0E72">
      <w:r>
        <w:separator/>
      </w:r>
    </w:p>
  </w:endnote>
  <w:endnote w:type="continuationSeparator" w:id="0">
    <w:p w14:paraId="7D0EB55C" w14:textId="77777777" w:rsidR="001A0E72" w:rsidRDefault="001A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Std Light">
    <w:altName w:val="Century Gothic"/>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Medium">
    <w:altName w:val="Century Gothic"/>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D360" w14:textId="77777777" w:rsidR="00D266EC" w:rsidRDefault="00D26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5813215"/>
      <w:docPartObj>
        <w:docPartGallery w:val="Page Numbers (Bottom of Page)"/>
        <w:docPartUnique/>
      </w:docPartObj>
    </w:sdtPr>
    <w:sdtEndPr>
      <w:rPr>
        <w:noProof/>
      </w:rPr>
    </w:sdtEndPr>
    <w:sdtContent>
      <w:p w14:paraId="2B2F172C" w14:textId="3F2AE7FC" w:rsidR="00884D11" w:rsidRDefault="00884D11">
        <w:pPr>
          <w:pStyle w:val="Footer"/>
        </w:pPr>
        <w:r>
          <w:fldChar w:fldCharType="begin"/>
        </w:r>
        <w:r>
          <w:instrText xml:space="preserve"> PAGE   \* MERGEFORMAT </w:instrText>
        </w:r>
        <w:r>
          <w:fldChar w:fldCharType="separate"/>
        </w:r>
        <w:r w:rsidR="00F73836">
          <w:rPr>
            <w:noProof/>
          </w:rPr>
          <w:t>5</w:t>
        </w:r>
        <w:r>
          <w:rPr>
            <w:noProof/>
          </w:rPr>
          <w:fldChar w:fldCharType="end"/>
        </w:r>
      </w:p>
    </w:sdtContent>
  </w:sdt>
  <w:p w14:paraId="291BCCAA" w14:textId="77777777" w:rsidR="00667895" w:rsidRPr="0091369E" w:rsidRDefault="00667895" w:rsidP="007C5CA5">
    <w:pPr>
      <w:pStyle w:val="Footer"/>
      <w:jc w:val="left"/>
      <w:rPr>
        <w:rFonts w:ascii="Futura Std Light" w:hAnsi="Futura Std Light"/>
        <w:color w:val="FFFFFF" w:themeColor="background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EBF73" w14:textId="77777777" w:rsidR="00D266EC" w:rsidRDefault="00D26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E7613" w14:textId="77777777" w:rsidR="001A0E72" w:rsidRDefault="001A0E72">
      <w:r>
        <w:separator/>
      </w:r>
    </w:p>
  </w:footnote>
  <w:footnote w:type="continuationSeparator" w:id="0">
    <w:p w14:paraId="293F0BC5" w14:textId="77777777" w:rsidR="001A0E72" w:rsidRDefault="001A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1BDB7" w14:textId="77777777" w:rsidR="00D266EC" w:rsidRDefault="00D26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D6E0" w14:textId="76D7A73D" w:rsidR="00D266EC" w:rsidRDefault="00D266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0F54" w14:textId="77777777" w:rsidR="00D266EC" w:rsidRDefault="00D26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97633E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B644AB4"/>
    <w:lvl w:ilvl="0">
      <w:start w:val="1"/>
      <w:numFmt w:val="bullet"/>
      <w:pStyle w:val="ListBullet"/>
      <w:lvlText w:val=""/>
      <w:lvlJc w:val="left"/>
      <w:pPr>
        <w:ind w:left="360" w:hanging="360"/>
      </w:pPr>
      <w:rPr>
        <w:rFonts w:ascii="Symbol" w:hAnsi="Symbol" w:hint="default"/>
        <w:color w:val="004712" w:themeColor="accent1"/>
      </w:rPr>
    </w:lvl>
  </w:abstractNum>
  <w:abstractNum w:abstractNumId="2" w15:restartNumberingAfterBreak="0">
    <w:nsid w:val="05152A3A"/>
    <w:multiLevelType w:val="hybridMultilevel"/>
    <w:tmpl w:val="5CEAECE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D03D8B"/>
    <w:multiLevelType w:val="multilevel"/>
    <w:tmpl w:val="68FC0F9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447E80"/>
    <w:multiLevelType w:val="multilevel"/>
    <w:tmpl w:val="4D5647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930006"/>
    <w:multiLevelType w:val="hybridMultilevel"/>
    <w:tmpl w:val="33105D22"/>
    <w:lvl w:ilvl="0" w:tplc="A7502778">
      <w:start w:val="1"/>
      <w:numFmt w:val="bullet"/>
      <w:lvlText w:val=""/>
      <w:lvlJc w:val="left"/>
      <w:pPr>
        <w:ind w:left="360" w:hanging="360"/>
      </w:pPr>
      <w:rPr>
        <w:rFonts w:ascii="Symbol" w:hAnsi="Symbol" w:hint="default"/>
        <w:color w:val="00471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54423C"/>
    <w:multiLevelType w:val="hybridMultilevel"/>
    <w:tmpl w:val="8C30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D0022"/>
    <w:multiLevelType w:val="hybridMultilevel"/>
    <w:tmpl w:val="70FA9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641EC6"/>
    <w:multiLevelType w:val="hybridMultilevel"/>
    <w:tmpl w:val="AEC2BAB2"/>
    <w:lvl w:ilvl="0" w:tplc="A7502778">
      <w:start w:val="1"/>
      <w:numFmt w:val="bullet"/>
      <w:lvlText w:val=""/>
      <w:lvlJc w:val="left"/>
      <w:pPr>
        <w:ind w:left="360" w:hanging="360"/>
      </w:pPr>
      <w:rPr>
        <w:rFonts w:ascii="Symbol" w:hAnsi="Symbol" w:hint="default"/>
        <w:color w:val="00471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7960E3"/>
    <w:multiLevelType w:val="hybridMultilevel"/>
    <w:tmpl w:val="020CD2D0"/>
    <w:lvl w:ilvl="0" w:tplc="0809000F">
      <w:start w:val="1"/>
      <w:numFmt w:val="decimal"/>
      <w:lvlText w:val="%1."/>
      <w:lvlJc w:val="left"/>
      <w:pPr>
        <w:ind w:left="720" w:hanging="360"/>
      </w:pPr>
      <w:rPr>
        <w:rFonts w:hint="default"/>
      </w:rPr>
    </w:lvl>
    <w:lvl w:ilvl="1" w:tplc="851C2BBA">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FA3B38"/>
    <w:multiLevelType w:val="hybridMultilevel"/>
    <w:tmpl w:val="F2B0E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602162"/>
    <w:multiLevelType w:val="multilevel"/>
    <w:tmpl w:val="B070659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F553388"/>
    <w:multiLevelType w:val="multilevel"/>
    <w:tmpl w:val="DA5A4B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2A1134"/>
    <w:multiLevelType w:val="hybridMultilevel"/>
    <w:tmpl w:val="1A488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9C02BD"/>
    <w:multiLevelType w:val="hybridMultilevel"/>
    <w:tmpl w:val="E57C5E40"/>
    <w:lvl w:ilvl="0" w:tplc="50D6962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C5DE0"/>
    <w:multiLevelType w:val="hybridMultilevel"/>
    <w:tmpl w:val="AF5AC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EC7398"/>
    <w:multiLevelType w:val="multilevel"/>
    <w:tmpl w:val="BAB43776"/>
    <w:lvl w:ilvl="0">
      <w:start w:val="1"/>
      <w:numFmt w:val="decimal"/>
      <w:lvlText w:val="%1."/>
      <w:lvlJc w:val="left"/>
      <w:pPr>
        <w:ind w:left="360" w:hanging="360"/>
      </w:pPr>
      <w:rPr>
        <w:rFonts w:hint="default"/>
        <w:color w:val="004712" w:themeColor="accent1"/>
      </w:rPr>
    </w:lvl>
    <w:lvl w:ilvl="1">
      <w:start w:val="1"/>
      <w:numFmt w:val="lowerRoman"/>
      <w:lvlText w:val="i%2)"/>
      <w:lvlJc w:val="left"/>
      <w:pPr>
        <w:tabs>
          <w:tab w:val="num" w:pos="425"/>
        </w:tabs>
        <w:ind w:left="425" w:hanging="425"/>
      </w:pPr>
      <w:rPr>
        <w:rFonts w:hint="default"/>
        <w:color w:val="005187"/>
      </w:rPr>
    </w:lvl>
    <w:lvl w:ilvl="2">
      <w:start w:val="1"/>
      <w:numFmt w:val="lowerRoman"/>
      <w:lvlText w:val="%3."/>
      <w:lvlJc w:val="right"/>
      <w:pPr>
        <w:tabs>
          <w:tab w:val="num" w:pos="992"/>
        </w:tabs>
        <w:ind w:left="992" w:hanging="567"/>
      </w:pPr>
      <w:rPr>
        <w:rFonts w:hint="default"/>
        <w:color w:val="005187"/>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7" w15:restartNumberingAfterBreak="0">
    <w:nsid w:val="2A1E0CA2"/>
    <w:multiLevelType w:val="hybridMultilevel"/>
    <w:tmpl w:val="BC6A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787F67"/>
    <w:multiLevelType w:val="hybridMultilevel"/>
    <w:tmpl w:val="C3B4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B319E5"/>
    <w:multiLevelType w:val="hybridMultilevel"/>
    <w:tmpl w:val="AE4E5B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4F6F0A"/>
    <w:multiLevelType w:val="hybridMultilevel"/>
    <w:tmpl w:val="26FA9CEC"/>
    <w:lvl w:ilvl="0" w:tplc="A7502778">
      <w:start w:val="1"/>
      <w:numFmt w:val="bullet"/>
      <w:lvlText w:val=""/>
      <w:lvlJc w:val="left"/>
      <w:pPr>
        <w:ind w:left="720" w:hanging="360"/>
      </w:pPr>
      <w:rPr>
        <w:rFonts w:ascii="Symbol" w:hAnsi="Symbol" w:hint="default"/>
        <w:color w:val="0047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177FB0"/>
    <w:multiLevelType w:val="multilevel"/>
    <w:tmpl w:val="D0FAAD8C"/>
    <w:lvl w:ilvl="0">
      <w:start w:val="1"/>
      <w:numFmt w:val="lowerLetter"/>
      <w:pStyle w:val="ListNumber"/>
      <w:lvlText w:val="%1)"/>
      <w:lvlJc w:val="left"/>
      <w:pPr>
        <w:ind w:left="360" w:hanging="360"/>
      </w:pPr>
      <w:rPr>
        <w:rFonts w:hint="default"/>
        <w:color w:val="004712" w:themeColor="accent1"/>
      </w:rPr>
    </w:lvl>
    <w:lvl w:ilvl="1">
      <w:start w:val="1"/>
      <w:numFmt w:val="lowerRoman"/>
      <w:lvlText w:val="i%2)"/>
      <w:lvlJc w:val="left"/>
      <w:pPr>
        <w:tabs>
          <w:tab w:val="num" w:pos="425"/>
        </w:tabs>
        <w:ind w:left="425" w:hanging="425"/>
      </w:pPr>
      <w:rPr>
        <w:rFonts w:hint="default"/>
        <w:color w:val="005187"/>
      </w:rPr>
    </w:lvl>
    <w:lvl w:ilvl="2">
      <w:start w:val="1"/>
      <w:numFmt w:val="lowerRoman"/>
      <w:lvlText w:val="%3."/>
      <w:lvlJc w:val="right"/>
      <w:pPr>
        <w:tabs>
          <w:tab w:val="num" w:pos="992"/>
        </w:tabs>
        <w:ind w:left="992" w:hanging="567"/>
      </w:pPr>
      <w:rPr>
        <w:rFonts w:hint="default"/>
        <w:color w:val="005187"/>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15:restartNumberingAfterBreak="0">
    <w:nsid w:val="35BF1A05"/>
    <w:multiLevelType w:val="hybridMultilevel"/>
    <w:tmpl w:val="E1BC7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673248B"/>
    <w:multiLevelType w:val="hybridMultilevel"/>
    <w:tmpl w:val="1D0A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51D0D"/>
    <w:multiLevelType w:val="hybridMultilevel"/>
    <w:tmpl w:val="CCCEA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E6C11"/>
    <w:multiLevelType w:val="hybridMultilevel"/>
    <w:tmpl w:val="16CE56C0"/>
    <w:lvl w:ilvl="0" w:tplc="A7502778">
      <w:start w:val="1"/>
      <w:numFmt w:val="bullet"/>
      <w:lvlText w:val=""/>
      <w:lvlJc w:val="left"/>
      <w:pPr>
        <w:ind w:left="360" w:hanging="360"/>
      </w:pPr>
      <w:rPr>
        <w:rFonts w:ascii="Symbol" w:hAnsi="Symbol" w:hint="default"/>
        <w:color w:val="00471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89D1481"/>
    <w:multiLevelType w:val="hybridMultilevel"/>
    <w:tmpl w:val="8F04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1916EF"/>
    <w:multiLevelType w:val="hybridMultilevel"/>
    <w:tmpl w:val="9C04B6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BEA3C50"/>
    <w:multiLevelType w:val="hybridMultilevel"/>
    <w:tmpl w:val="35569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167F4"/>
    <w:multiLevelType w:val="hybridMultilevel"/>
    <w:tmpl w:val="B8EEF35C"/>
    <w:lvl w:ilvl="0" w:tplc="A7502778">
      <w:start w:val="1"/>
      <w:numFmt w:val="bullet"/>
      <w:lvlText w:val=""/>
      <w:lvlJc w:val="left"/>
      <w:pPr>
        <w:ind w:left="360" w:hanging="360"/>
      </w:pPr>
      <w:rPr>
        <w:rFonts w:ascii="Symbol" w:hAnsi="Symbol" w:hint="default"/>
        <w:color w:val="00471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53443F"/>
    <w:multiLevelType w:val="hybridMultilevel"/>
    <w:tmpl w:val="1D3AB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F5786C"/>
    <w:multiLevelType w:val="hybridMultilevel"/>
    <w:tmpl w:val="D8A0180C"/>
    <w:lvl w:ilvl="0" w:tplc="2770767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8125C0"/>
    <w:multiLevelType w:val="multilevel"/>
    <w:tmpl w:val="4D5647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AC584F"/>
    <w:multiLevelType w:val="multilevel"/>
    <w:tmpl w:val="CDC8E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E11293"/>
    <w:multiLevelType w:val="hybridMultilevel"/>
    <w:tmpl w:val="85C66EEA"/>
    <w:lvl w:ilvl="0" w:tplc="0A26C32C">
      <w:start w:val="1"/>
      <w:numFmt w:val="decimal"/>
      <w:lvlText w:val="%1."/>
      <w:lvlJc w:val="left"/>
      <w:pPr>
        <w:ind w:left="720" w:hanging="360"/>
      </w:pPr>
      <w:rPr>
        <w:rFonts w:hint="default"/>
        <w:color w:val="004712"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145295"/>
    <w:multiLevelType w:val="hybridMultilevel"/>
    <w:tmpl w:val="A6F0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DE0DDC"/>
    <w:multiLevelType w:val="multilevel"/>
    <w:tmpl w:val="CDC8E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405314"/>
    <w:multiLevelType w:val="hybridMultilevel"/>
    <w:tmpl w:val="D5162EE4"/>
    <w:lvl w:ilvl="0" w:tplc="A7502778">
      <w:start w:val="1"/>
      <w:numFmt w:val="bullet"/>
      <w:lvlText w:val=""/>
      <w:lvlJc w:val="left"/>
      <w:pPr>
        <w:ind w:left="720" w:hanging="360"/>
      </w:pPr>
      <w:rPr>
        <w:rFonts w:ascii="Symbol" w:hAnsi="Symbol" w:hint="default"/>
        <w:color w:val="0047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592171"/>
    <w:multiLevelType w:val="multilevel"/>
    <w:tmpl w:val="33DE33C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3E2118D"/>
    <w:multiLevelType w:val="hybridMultilevel"/>
    <w:tmpl w:val="2EB0A0A0"/>
    <w:lvl w:ilvl="0" w:tplc="A7502778">
      <w:start w:val="1"/>
      <w:numFmt w:val="bullet"/>
      <w:lvlText w:val=""/>
      <w:lvlJc w:val="left"/>
      <w:pPr>
        <w:ind w:left="360" w:hanging="360"/>
      </w:pPr>
      <w:rPr>
        <w:rFonts w:ascii="Symbol" w:hAnsi="Symbol" w:hint="default"/>
        <w:color w:val="00471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3FF027A"/>
    <w:multiLevelType w:val="hybridMultilevel"/>
    <w:tmpl w:val="5096E4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99798F"/>
    <w:multiLevelType w:val="multilevel"/>
    <w:tmpl w:val="34A4EE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DA23566"/>
    <w:multiLevelType w:val="hybridMultilevel"/>
    <w:tmpl w:val="7F7C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62332F"/>
    <w:multiLevelType w:val="hybridMultilevel"/>
    <w:tmpl w:val="8B302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CD15A1"/>
    <w:multiLevelType w:val="hybridMultilevel"/>
    <w:tmpl w:val="A9C8E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A6239D"/>
    <w:multiLevelType w:val="hybridMultilevel"/>
    <w:tmpl w:val="F644298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EA0733"/>
    <w:multiLevelType w:val="hybridMultilevel"/>
    <w:tmpl w:val="A32A0C0E"/>
    <w:lvl w:ilvl="0" w:tplc="54C8E890">
      <w:start w:val="1"/>
      <w:numFmt w:val="decimal"/>
      <w:lvlText w:val="%1."/>
      <w:lvlJc w:val="left"/>
      <w:pPr>
        <w:ind w:left="720" w:hanging="360"/>
      </w:pPr>
      <w:rPr>
        <w:rFonts w:hint="default"/>
      </w:rPr>
    </w:lvl>
    <w:lvl w:ilvl="1" w:tplc="EB4C52AC">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0453224">
    <w:abstractNumId w:val="1"/>
  </w:num>
  <w:num w:numId="2" w16cid:durableId="1429883870">
    <w:abstractNumId w:val="21"/>
  </w:num>
  <w:num w:numId="3" w16cid:durableId="281233788">
    <w:abstractNumId w:val="40"/>
  </w:num>
  <w:num w:numId="4" w16cid:durableId="229973548">
    <w:abstractNumId w:val="28"/>
  </w:num>
  <w:num w:numId="5" w16cid:durableId="2035810555">
    <w:abstractNumId w:val="41"/>
  </w:num>
  <w:num w:numId="6" w16cid:durableId="1569264039">
    <w:abstractNumId w:val="12"/>
  </w:num>
  <w:num w:numId="7" w16cid:durableId="94987484">
    <w:abstractNumId w:val="36"/>
  </w:num>
  <w:num w:numId="8" w16cid:durableId="2123376197">
    <w:abstractNumId w:val="33"/>
  </w:num>
  <w:num w:numId="9" w16cid:durableId="111827360">
    <w:abstractNumId w:val="3"/>
  </w:num>
  <w:num w:numId="10" w16cid:durableId="1859388845">
    <w:abstractNumId w:val="32"/>
  </w:num>
  <w:num w:numId="11" w16cid:durableId="985550551">
    <w:abstractNumId w:val="11"/>
  </w:num>
  <w:num w:numId="12" w16cid:durableId="2115323337">
    <w:abstractNumId w:val="38"/>
  </w:num>
  <w:num w:numId="13" w16cid:durableId="1605191052">
    <w:abstractNumId w:val="4"/>
  </w:num>
  <w:num w:numId="14" w16cid:durableId="1407218499">
    <w:abstractNumId w:val="30"/>
  </w:num>
  <w:num w:numId="15" w16cid:durableId="673336003">
    <w:abstractNumId w:val="26"/>
  </w:num>
  <w:num w:numId="16" w16cid:durableId="1839349000">
    <w:abstractNumId w:val="16"/>
  </w:num>
  <w:num w:numId="17" w16cid:durableId="1658268991">
    <w:abstractNumId w:val="6"/>
  </w:num>
  <w:num w:numId="18" w16cid:durableId="1631397084">
    <w:abstractNumId w:val="42"/>
  </w:num>
  <w:num w:numId="19" w16cid:durableId="354307734">
    <w:abstractNumId w:val="31"/>
  </w:num>
  <w:num w:numId="20" w16cid:durableId="1315795527">
    <w:abstractNumId w:val="15"/>
  </w:num>
  <w:num w:numId="21" w16cid:durableId="353310321">
    <w:abstractNumId w:val="34"/>
  </w:num>
  <w:num w:numId="22" w16cid:durableId="1380128141">
    <w:abstractNumId w:val="46"/>
  </w:num>
  <w:num w:numId="23" w16cid:durableId="14891250">
    <w:abstractNumId w:val="35"/>
  </w:num>
  <w:num w:numId="24" w16cid:durableId="519398634">
    <w:abstractNumId w:val="20"/>
  </w:num>
  <w:num w:numId="25" w16cid:durableId="1993480550">
    <w:abstractNumId w:val="43"/>
  </w:num>
  <w:num w:numId="26" w16cid:durableId="437412850">
    <w:abstractNumId w:val="27"/>
  </w:num>
  <w:num w:numId="27" w16cid:durableId="1265921018">
    <w:abstractNumId w:val="9"/>
  </w:num>
  <w:num w:numId="28" w16cid:durableId="727534113">
    <w:abstractNumId w:val="24"/>
  </w:num>
  <w:num w:numId="29" w16cid:durableId="1833523491">
    <w:abstractNumId w:val="23"/>
  </w:num>
  <w:num w:numId="30" w16cid:durableId="580405422">
    <w:abstractNumId w:val="44"/>
  </w:num>
  <w:num w:numId="31" w16cid:durableId="969287359">
    <w:abstractNumId w:val="0"/>
  </w:num>
  <w:num w:numId="32" w16cid:durableId="628391654">
    <w:abstractNumId w:val="18"/>
  </w:num>
  <w:num w:numId="33" w16cid:durableId="1605571905">
    <w:abstractNumId w:val="25"/>
  </w:num>
  <w:num w:numId="34" w16cid:durableId="929848058">
    <w:abstractNumId w:val="22"/>
  </w:num>
  <w:num w:numId="35" w16cid:durableId="2090151592">
    <w:abstractNumId w:val="29"/>
  </w:num>
  <w:num w:numId="36" w16cid:durableId="610817539">
    <w:abstractNumId w:val="5"/>
  </w:num>
  <w:num w:numId="37" w16cid:durableId="1500004349">
    <w:abstractNumId w:val="37"/>
  </w:num>
  <w:num w:numId="38" w16cid:durableId="1315182969">
    <w:abstractNumId w:val="13"/>
  </w:num>
  <w:num w:numId="39" w16cid:durableId="1952779832">
    <w:abstractNumId w:val="8"/>
  </w:num>
  <w:num w:numId="40" w16cid:durableId="1163473795">
    <w:abstractNumId w:val="39"/>
  </w:num>
  <w:num w:numId="41" w16cid:durableId="1493912980">
    <w:abstractNumId w:val="17"/>
  </w:num>
  <w:num w:numId="42" w16cid:durableId="1020549576">
    <w:abstractNumId w:val="7"/>
  </w:num>
  <w:num w:numId="43" w16cid:durableId="1755472959">
    <w:abstractNumId w:val="2"/>
  </w:num>
  <w:num w:numId="44" w16cid:durableId="893933197">
    <w:abstractNumId w:val="45"/>
  </w:num>
  <w:num w:numId="45" w16cid:durableId="1095516167">
    <w:abstractNumId w:val="19"/>
  </w:num>
  <w:num w:numId="46" w16cid:durableId="1832333101">
    <w:abstractNumId w:val="10"/>
  </w:num>
  <w:num w:numId="47" w16cid:durableId="90980258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D41"/>
    <w:rsid w:val="000014F6"/>
    <w:rsid w:val="00001569"/>
    <w:rsid w:val="00001BF5"/>
    <w:rsid w:val="00003A3D"/>
    <w:rsid w:val="00004058"/>
    <w:rsid w:val="000052AA"/>
    <w:rsid w:val="000106D9"/>
    <w:rsid w:val="00017DCB"/>
    <w:rsid w:val="0002008A"/>
    <w:rsid w:val="000209F6"/>
    <w:rsid w:val="000259B5"/>
    <w:rsid w:val="00034D5D"/>
    <w:rsid w:val="00044E18"/>
    <w:rsid w:val="000477FE"/>
    <w:rsid w:val="00050126"/>
    <w:rsid w:val="00050E5B"/>
    <w:rsid w:val="0006725C"/>
    <w:rsid w:val="00077BDE"/>
    <w:rsid w:val="00080426"/>
    <w:rsid w:val="00081E51"/>
    <w:rsid w:val="0008483E"/>
    <w:rsid w:val="000875B4"/>
    <w:rsid w:val="00091F2A"/>
    <w:rsid w:val="0009325E"/>
    <w:rsid w:val="0009394D"/>
    <w:rsid w:val="00097A05"/>
    <w:rsid w:val="000B3473"/>
    <w:rsid w:val="000C3445"/>
    <w:rsid w:val="000C603F"/>
    <w:rsid w:val="000D0650"/>
    <w:rsid w:val="000D0877"/>
    <w:rsid w:val="000D3698"/>
    <w:rsid w:val="000D5302"/>
    <w:rsid w:val="000F18D2"/>
    <w:rsid w:val="000F3B55"/>
    <w:rsid w:val="000F568B"/>
    <w:rsid w:val="000F7958"/>
    <w:rsid w:val="00103519"/>
    <w:rsid w:val="001040F6"/>
    <w:rsid w:val="001045BC"/>
    <w:rsid w:val="00104CBD"/>
    <w:rsid w:val="00106867"/>
    <w:rsid w:val="001131CD"/>
    <w:rsid w:val="0011755F"/>
    <w:rsid w:val="001216EE"/>
    <w:rsid w:val="00121CA4"/>
    <w:rsid w:val="00124BA1"/>
    <w:rsid w:val="00125665"/>
    <w:rsid w:val="00131431"/>
    <w:rsid w:val="001329D5"/>
    <w:rsid w:val="001359D2"/>
    <w:rsid w:val="00141618"/>
    <w:rsid w:val="00144718"/>
    <w:rsid w:val="00154979"/>
    <w:rsid w:val="00156DF4"/>
    <w:rsid w:val="00160943"/>
    <w:rsid w:val="001647C5"/>
    <w:rsid w:val="001667FF"/>
    <w:rsid w:val="0017225B"/>
    <w:rsid w:val="001757D3"/>
    <w:rsid w:val="0018020B"/>
    <w:rsid w:val="00183D56"/>
    <w:rsid w:val="00187805"/>
    <w:rsid w:val="00187C24"/>
    <w:rsid w:val="00187FB5"/>
    <w:rsid w:val="001923C2"/>
    <w:rsid w:val="00197F51"/>
    <w:rsid w:val="001A0E72"/>
    <w:rsid w:val="001A0FA1"/>
    <w:rsid w:val="001A0FBA"/>
    <w:rsid w:val="001A2B44"/>
    <w:rsid w:val="001A4D96"/>
    <w:rsid w:val="001A6F38"/>
    <w:rsid w:val="001B0720"/>
    <w:rsid w:val="001B2216"/>
    <w:rsid w:val="001B4573"/>
    <w:rsid w:val="001C14A0"/>
    <w:rsid w:val="001C2318"/>
    <w:rsid w:val="001C2CAF"/>
    <w:rsid w:val="001C537E"/>
    <w:rsid w:val="001C580A"/>
    <w:rsid w:val="001C58BA"/>
    <w:rsid w:val="001E00FE"/>
    <w:rsid w:val="001E0247"/>
    <w:rsid w:val="001E27BE"/>
    <w:rsid w:val="001E44EC"/>
    <w:rsid w:val="001E7023"/>
    <w:rsid w:val="001E7F53"/>
    <w:rsid w:val="001F1D98"/>
    <w:rsid w:val="001F2F73"/>
    <w:rsid w:val="001F312A"/>
    <w:rsid w:val="001F3E3D"/>
    <w:rsid w:val="001F5320"/>
    <w:rsid w:val="001F5DDA"/>
    <w:rsid w:val="001F7DE0"/>
    <w:rsid w:val="00200B76"/>
    <w:rsid w:val="0020293B"/>
    <w:rsid w:val="002062FD"/>
    <w:rsid w:val="00212CDB"/>
    <w:rsid w:val="00213F00"/>
    <w:rsid w:val="00216FF4"/>
    <w:rsid w:val="002177A4"/>
    <w:rsid w:val="00222B40"/>
    <w:rsid w:val="00231142"/>
    <w:rsid w:val="00231594"/>
    <w:rsid w:val="00231F58"/>
    <w:rsid w:val="00237212"/>
    <w:rsid w:val="0024250E"/>
    <w:rsid w:val="00246DF7"/>
    <w:rsid w:val="00246E9F"/>
    <w:rsid w:val="002520B6"/>
    <w:rsid w:val="00253014"/>
    <w:rsid w:val="00254350"/>
    <w:rsid w:val="00254ED1"/>
    <w:rsid w:val="00257CB1"/>
    <w:rsid w:val="00260B2F"/>
    <w:rsid w:val="00267D0C"/>
    <w:rsid w:val="00276F5F"/>
    <w:rsid w:val="00283DFA"/>
    <w:rsid w:val="00284D9C"/>
    <w:rsid w:val="00287542"/>
    <w:rsid w:val="00287CF6"/>
    <w:rsid w:val="002A0ADD"/>
    <w:rsid w:val="002A20EF"/>
    <w:rsid w:val="002A4754"/>
    <w:rsid w:val="002A6199"/>
    <w:rsid w:val="002A721A"/>
    <w:rsid w:val="002B1359"/>
    <w:rsid w:val="002B2087"/>
    <w:rsid w:val="002B3B0A"/>
    <w:rsid w:val="002B5582"/>
    <w:rsid w:val="002B6A92"/>
    <w:rsid w:val="002C0252"/>
    <w:rsid w:val="002D39D8"/>
    <w:rsid w:val="002D48D8"/>
    <w:rsid w:val="002E12A5"/>
    <w:rsid w:val="002E6C84"/>
    <w:rsid w:val="002F26D8"/>
    <w:rsid w:val="002F4C41"/>
    <w:rsid w:val="002F514D"/>
    <w:rsid w:val="00301261"/>
    <w:rsid w:val="00301517"/>
    <w:rsid w:val="00302AC3"/>
    <w:rsid w:val="00302F9C"/>
    <w:rsid w:val="003034BF"/>
    <w:rsid w:val="00304614"/>
    <w:rsid w:val="0030472A"/>
    <w:rsid w:val="0031152F"/>
    <w:rsid w:val="00315835"/>
    <w:rsid w:val="00315CC3"/>
    <w:rsid w:val="003173E1"/>
    <w:rsid w:val="00334942"/>
    <w:rsid w:val="003409F4"/>
    <w:rsid w:val="003426C3"/>
    <w:rsid w:val="00345143"/>
    <w:rsid w:val="00356B47"/>
    <w:rsid w:val="0036100A"/>
    <w:rsid w:val="003612E6"/>
    <w:rsid w:val="00365921"/>
    <w:rsid w:val="00365D32"/>
    <w:rsid w:val="003671DF"/>
    <w:rsid w:val="00367D86"/>
    <w:rsid w:val="00373273"/>
    <w:rsid w:val="0038030B"/>
    <w:rsid w:val="00382270"/>
    <w:rsid w:val="00383BB5"/>
    <w:rsid w:val="00386B8C"/>
    <w:rsid w:val="00390785"/>
    <w:rsid w:val="003941BE"/>
    <w:rsid w:val="003A0E66"/>
    <w:rsid w:val="003A1CEE"/>
    <w:rsid w:val="003A1E4F"/>
    <w:rsid w:val="003A65A7"/>
    <w:rsid w:val="003B69C4"/>
    <w:rsid w:val="003C1E38"/>
    <w:rsid w:val="003C38B6"/>
    <w:rsid w:val="003C4C1F"/>
    <w:rsid w:val="003C6FEC"/>
    <w:rsid w:val="003D1975"/>
    <w:rsid w:val="003D323D"/>
    <w:rsid w:val="003E2297"/>
    <w:rsid w:val="003E2698"/>
    <w:rsid w:val="003F0C04"/>
    <w:rsid w:val="003F223F"/>
    <w:rsid w:val="003F495A"/>
    <w:rsid w:val="003F5256"/>
    <w:rsid w:val="003F6899"/>
    <w:rsid w:val="003F7900"/>
    <w:rsid w:val="003F7E22"/>
    <w:rsid w:val="0040095E"/>
    <w:rsid w:val="0040314C"/>
    <w:rsid w:val="00404E8F"/>
    <w:rsid w:val="00411B23"/>
    <w:rsid w:val="00411C2C"/>
    <w:rsid w:val="004137C7"/>
    <w:rsid w:val="00413C94"/>
    <w:rsid w:val="00413E39"/>
    <w:rsid w:val="00416C6B"/>
    <w:rsid w:val="0041705C"/>
    <w:rsid w:val="0041725C"/>
    <w:rsid w:val="00425DA9"/>
    <w:rsid w:val="00427183"/>
    <w:rsid w:val="00427283"/>
    <w:rsid w:val="00427700"/>
    <w:rsid w:val="00433622"/>
    <w:rsid w:val="004343C8"/>
    <w:rsid w:val="00434B1F"/>
    <w:rsid w:val="00441A77"/>
    <w:rsid w:val="00444D5E"/>
    <w:rsid w:val="0044517A"/>
    <w:rsid w:val="00447ED3"/>
    <w:rsid w:val="00451608"/>
    <w:rsid w:val="00452237"/>
    <w:rsid w:val="00453AF1"/>
    <w:rsid w:val="004557CA"/>
    <w:rsid w:val="004610D8"/>
    <w:rsid w:val="004619A7"/>
    <w:rsid w:val="00463B18"/>
    <w:rsid w:val="00466065"/>
    <w:rsid w:val="0047301F"/>
    <w:rsid w:val="00474CF0"/>
    <w:rsid w:val="00476256"/>
    <w:rsid w:val="00480485"/>
    <w:rsid w:val="00484A39"/>
    <w:rsid w:val="00484F08"/>
    <w:rsid w:val="004901E1"/>
    <w:rsid w:val="00491276"/>
    <w:rsid w:val="00491F4A"/>
    <w:rsid w:val="004935F6"/>
    <w:rsid w:val="00494EE0"/>
    <w:rsid w:val="004960C2"/>
    <w:rsid w:val="004A2C6D"/>
    <w:rsid w:val="004A2CB6"/>
    <w:rsid w:val="004B65BA"/>
    <w:rsid w:val="004C1B12"/>
    <w:rsid w:val="004C417F"/>
    <w:rsid w:val="004C6C36"/>
    <w:rsid w:val="004C7E97"/>
    <w:rsid w:val="004D6D39"/>
    <w:rsid w:val="004E2486"/>
    <w:rsid w:val="004E2AF1"/>
    <w:rsid w:val="004E467A"/>
    <w:rsid w:val="004E484E"/>
    <w:rsid w:val="004E5311"/>
    <w:rsid w:val="004E5449"/>
    <w:rsid w:val="004E5B6A"/>
    <w:rsid w:val="004F1153"/>
    <w:rsid w:val="004F5B1D"/>
    <w:rsid w:val="00507CD2"/>
    <w:rsid w:val="00510FB0"/>
    <w:rsid w:val="00512317"/>
    <w:rsid w:val="00512876"/>
    <w:rsid w:val="0051353D"/>
    <w:rsid w:val="0052472C"/>
    <w:rsid w:val="0052520B"/>
    <w:rsid w:val="00530124"/>
    <w:rsid w:val="00531541"/>
    <w:rsid w:val="0053174E"/>
    <w:rsid w:val="005323AA"/>
    <w:rsid w:val="00533BAD"/>
    <w:rsid w:val="00537269"/>
    <w:rsid w:val="00540DF8"/>
    <w:rsid w:val="00542166"/>
    <w:rsid w:val="00542694"/>
    <w:rsid w:val="00552487"/>
    <w:rsid w:val="00552DCE"/>
    <w:rsid w:val="00554A87"/>
    <w:rsid w:val="00555329"/>
    <w:rsid w:val="00555BB3"/>
    <w:rsid w:val="0056427E"/>
    <w:rsid w:val="00564CC3"/>
    <w:rsid w:val="00570B53"/>
    <w:rsid w:val="00571B4B"/>
    <w:rsid w:val="005755EB"/>
    <w:rsid w:val="0057565E"/>
    <w:rsid w:val="005874A5"/>
    <w:rsid w:val="00594A3A"/>
    <w:rsid w:val="005957A6"/>
    <w:rsid w:val="005A0CAE"/>
    <w:rsid w:val="005A5D67"/>
    <w:rsid w:val="005A7218"/>
    <w:rsid w:val="005B52B8"/>
    <w:rsid w:val="005B7160"/>
    <w:rsid w:val="005C2168"/>
    <w:rsid w:val="005C3EC8"/>
    <w:rsid w:val="005C4ECC"/>
    <w:rsid w:val="005C5800"/>
    <w:rsid w:val="005C7891"/>
    <w:rsid w:val="005D4385"/>
    <w:rsid w:val="005D483E"/>
    <w:rsid w:val="005E1B59"/>
    <w:rsid w:val="005E1B7E"/>
    <w:rsid w:val="005E68C3"/>
    <w:rsid w:val="005F359E"/>
    <w:rsid w:val="005F4B85"/>
    <w:rsid w:val="005F6973"/>
    <w:rsid w:val="00603EC2"/>
    <w:rsid w:val="00604C63"/>
    <w:rsid w:val="00605181"/>
    <w:rsid w:val="00606CC5"/>
    <w:rsid w:val="00606E66"/>
    <w:rsid w:val="006102E1"/>
    <w:rsid w:val="0061036A"/>
    <w:rsid w:val="006124AA"/>
    <w:rsid w:val="006130F8"/>
    <w:rsid w:val="00613DFB"/>
    <w:rsid w:val="0061409C"/>
    <w:rsid w:val="00620AC2"/>
    <w:rsid w:val="006226FE"/>
    <w:rsid w:val="0062280C"/>
    <w:rsid w:val="006235C4"/>
    <w:rsid w:val="006254EB"/>
    <w:rsid w:val="00626991"/>
    <w:rsid w:val="006273F5"/>
    <w:rsid w:val="006276B1"/>
    <w:rsid w:val="00631687"/>
    <w:rsid w:val="0063484B"/>
    <w:rsid w:val="00637543"/>
    <w:rsid w:val="00642395"/>
    <w:rsid w:val="00644C22"/>
    <w:rsid w:val="006475E2"/>
    <w:rsid w:val="006521F3"/>
    <w:rsid w:val="006530B0"/>
    <w:rsid w:val="0065422C"/>
    <w:rsid w:val="0065434F"/>
    <w:rsid w:val="00654806"/>
    <w:rsid w:val="00655EDC"/>
    <w:rsid w:val="0066082D"/>
    <w:rsid w:val="00661A31"/>
    <w:rsid w:val="006625C1"/>
    <w:rsid w:val="0066438B"/>
    <w:rsid w:val="00664A0A"/>
    <w:rsid w:val="0066586D"/>
    <w:rsid w:val="0066588E"/>
    <w:rsid w:val="00665B51"/>
    <w:rsid w:val="00667895"/>
    <w:rsid w:val="00671395"/>
    <w:rsid w:val="00671CEB"/>
    <w:rsid w:val="00672756"/>
    <w:rsid w:val="0067648A"/>
    <w:rsid w:val="00677398"/>
    <w:rsid w:val="00690830"/>
    <w:rsid w:val="006920A6"/>
    <w:rsid w:val="00692476"/>
    <w:rsid w:val="00694DD9"/>
    <w:rsid w:val="00695E6D"/>
    <w:rsid w:val="006A1214"/>
    <w:rsid w:val="006A73B7"/>
    <w:rsid w:val="006B0758"/>
    <w:rsid w:val="006B2F1D"/>
    <w:rsid w:val="006B7AEE"/>
    <w:rsid w:val="006C17FF"/>
    <w:rsid w:val="006C2055"/>
    <w:rsid w:val="006C6741"/>
    <w:rsid w:val="006D633D"/>
    <w:rsid w:val="006D7FE7"/>
    <w:rsid w:val="006E01ED"/>
    <w:rsid w:val="006E120D"/>
    <w:rsid w:val="006E1FF7"/>
    <w:rsid w:val="006E3CE6"/>
    <w:rsid w:val="006E3EA9"/>
    <w:rsid w:val="006E5031"/>
    <w:rsid w:val="006E60E2"/>
    <w:rsid w:val="006F149E"/>
    <w:rsid w:val="006F3B02"/>
    <w:rsid w:val="006F4AFB"/>
    <w:rsid w:val="00702DF0"/>
    <w:rsid w:val="0070424E"/>
    <w:rsid w:val="0070797F"/>
    <w:rsid w:val="00713C58"/>
    <w:rsid w:val="0071516F"/>
    <w:rsid w:val="007159C2"/>
    <w:rsid w:val="00721F88"/>
    <w:rsid w:val="0072343D"/>
    <w:rsid w:val="00724795"/>
    <w:rsid w:val="00725EE3"/>
    <w:rsid w:val="0073177B"/>
    <w:rsid w:val="0073717A"/>
    <w:rsid w:val="0073759B"/>
    <w:rsid w:val="00740622"/>
    <w:rsid w:val="007532EC"/>
    <w:rsid w:val="00756530"/>
    <w:rsid w:val="0076041A"/>
    <w:rsid w:val="00762268"/>
    <w:rsid w:val="00763A82"/>
    <w:rsid w:val="00763EEA"/>
    <w:rsid w:val="00764F24"/>
    <w:rsid w:val="00765BC8"/>
    <w:rsid w:val="00765BE0"/>
    <w:rsid w:val="00765C07"/>
    <w:rsid w:val="0077210C"/>
    <w:rsid w:val="00772442"/>
    <w:rsid w:val="00774029"/>
    <w:rsid w:val="00775D22"/>
    <w:rsid w:val="0078589C"/>
    <w:rsid w:val="007909A7"/>
    <w:rsid w:val="007926F0"/>
    <w:rsid w:val="007945C0"/>
    <w:rsid w:val="007A14B3"/>
    <w:rsid w:val="007A1EBA"/>
    <w:rsid w:val="007A267D"/>
    <w:rsid w:val="007A50E4"/>
    <w:rsid w:val="007B6E0D"/>
    <w:rsid w:val="007C0B06"/>
    <w:rsid w:val="007C4E2E"/>
    <w:rsid w:val="007C5CA5"/>
    <w:rsid w:val="007D0D9A"/>
    <w:rsid w:val="007D0E86"/>
    <w:rsid w:val="007D1E73"/>
    <w:rsid w:val="007D391F"/>
    <w:rsid w:val="007D5050"/>
    <w:rsid w:val="007D7322"/>
    <w:rsid w:val="007D7EC6"/>
    <w:rsid w:val="007E1035"/>
    <w:rsid w:val="007E2E0B"/>
    <w:rsid w:val="007E54CC"/>
    <w:rsid w:val="007F072D"/>
    <w:rsid w:val="007F7BF4"/>
    <w:rsid w:val="00802540"/>
    <w:rsid w:val="00812482"/>
    <w:rsid w:val="00817FF3"/>
    <w:rsid w:val="00826537"/>
    <w:rsid w:val="00833F84"/>
    <w:rsid w:val="008410E8"/>
    <w:rsid w:val="00844C39"/>
    <w:rsid w:val="00844CC5"/>
    <w:rsid w:val="0085221C"/>
    <w:rsid w:val="00852CFD"/>
    <w:rsid w:val="0086298C"/>
    <w:rsid w:val="00864D75"/>
    <w:rsid w:val="00865773"/>
    <w:rsid w:val="00870A8F"/>
    <w:rsid w:val="008711B0"/>
    <w:rsid w:val="008732D9"/>
    <w:rsid w:val="00874F49"/>
    <w:rsid w:val="00880016"/>
    <w:rsid w:val="00880BDA"/>
    <w:rsid w:val="0088112D"/>
    <w:rsid w:val="008823E5"/>
    <w:rsid w:val="00884D11"/>
    <w:rsid w:val="00886344"/>
    <w:rsid w:val="00886A83"/>
    <w:rsid w:val="008875BC"/>
    <w:rsid w:val="0089112D"/>
    <w:rsid w:val="00897808"/>
    <w:rsid w:val="008A1369"/>
    <w:rsid w:val="008A2F65"/>
    <w:rsid w:val="008A35C3"/>
    <w:rsid w:val="008A5998"/>
    <w:rsid w:val="008A7813"/>
    <w:rsid w:val="008B0C95"/>
    <w:rsid w:val="008B0F38"/>
    <w:rsid w:val="008B2B5A"/>
    <w:rsid w:val="008B38F5"/>
    <w:rsid w:val="008C1055"/>
    <w:rsid w:val="008C388E"/>
    <w:rsid w:val="008C5406"/>
    <w:rsid w:val="008C6F04"/>
    <w:rsid w:val="008D5087"/>
    <w:rsid w:val="008D517A"/>
    <w:rsid w:val="008E2A28"/>
    <w:rsid w:val="008E2BBB"/>
    <w:rsid w:val="008E4BD2"/>
    <w:rsid w:val="008E4FFF"/>
    <w:rsid w:val="008E6E6D"/>
    <w:rsid w:val="008F040E"/>
    <w:rsid w:val="008F2FE0"/>
    <w:rsid w:val="008F448A"/>
    <w:rsid w:val="008F4FB4"/>
    <w:rsid w:val="009008B1"/>
    <w:rsid w:val="00906D49"/>
    <w:rsid w:val="00910E18"/>
    <w:rsid w:val="0091369E"/>
    <w:rsid w:val="00915720"/>
    <w:rsid w:val="00920927"/>
    <w:rsid w:val="0092231E"/>
    <w:rsid w:val="00924D46"/>
    <w:rsid w:val="00927881"/>
    <w:rsid w:val="00932045"/>
    <w:rsid w:val="00932F44"/>
    <w:rsid w:val="00933220"/>
    <w:rsid w:val="00936799"/>
    <w:rsid w:val="00936A74"/>
    <w:rsid w:val="00942112"/>
    <w:rsid w:val="00942D01"/>
    <w:rsid w:val="00943003"/>
    <w:rsid w:val="00944724"/>
    <w:rsid w:val="00944E20"/>
    <w:rsid w:val="009478E5"/>
    <w:rsid w:val="0095247E"/>
    <w:rsid w:val="00954D15"/>
    <w:rsid w:val="009560A1"/>
    <w:rsid w:val="00957023"/>
    <w:rsid w:val="0096559F"/>
    <w:rsid w:val="009803DD"/>
    <w:rsid w:val="0099786C"/>
    <w:rsid w:val="009A1196"/>
    <w:rsid w:val="009B5DA3"/>
    <w:rsid w:val="009D0AB3"/>
    <w:rsid w:val="009D163C"/>
    <w:rsid w:val="009D26ED"/>
    <w:rsid w:val="009D2DF0"/>
    <w:rsid w:val="009D2F3D"/>
    <w:rsid w:val="009D32C8"/>
    <w:rsid w:val="009E74E1"/>
    <w:rsid w:val="009E7B7A"/>
    <w:rsid w:val="009F0164"/>
    <w:rsid w:val="009F0DD2"/>
    <w:rsid w:val="009F1996"/>
    <w:rsid w:val="009F4370"/>
    <w:rsid w:val="009F6562"/>
    <w:rsid w:val="00A176AB"/>
    <w:rsid w:val="00A17EAA"/>
    <w:rsid w:val="00A24247"/>
    <w:rsid w:val="00A2472D"/>
    <w:rsid w:val="00A2610F"/>
    <w:rsid w:val="00A3123C"/>
    <w:rsid w:val="00A31797"/>
    <w:rsid w:val="00A3430D"/>
    <w:rsid w:val="00A4158C"/>
    <w:rsid w:val="00A442B9"/>
    <w:rsid w:val="00A45663"/>
    <w:rsid w:val="00A52908"/>
    <w:rsid w:val="00A53453"/>
    <w:rsid w:val="00A56260"/>
    <w:rsid w:val="00A56A5E"/>
    <w:rsid w:val="00A57C69"/>
    <w:rsid w:val="00A62A81"/>
    <w:rsid w:val="00A63138"/>
    <w:rsid w:val="00A649F2"/>
    <w:rsid w:val="00A65E02"/>
    <w:rsid w:val="00A716E8"/>
    <w:rsid w:val="00A7454A"/>
    <w:rsid w:val="00A8197A"/>
    <w:rsid w:val="00A83C8F"/>
    <w:rsid w:val="00A85721"/>
    <w:rsid w:val="00A968A3"/>
    <w:rsid w:val="00AA2731"/>
    <w:rsid w:val="00AA2D4F"/>
    <w:rsid w:val="00AA3745"/>
    <w:rsid w:val="00AA3852"/>
    <w:rsid w:val="00AB1412"/>
    <w:rsid w:val="00AB3CAF"/>
    <w:rsid w:val="00AB4D85"/>
    <w:rsid w:val="00AB6CCB"/>
    <w:rsid w:val="00AC0ADE"/>
    <w:rsid w:val="00AC0F4B"/>
    <w:rsid w:val="00AC2597"/>
    <w:rsid w:val="00AC394E"/>
    <w:rsid w:val="00AC5256"/>
    <w:rsid w:val="00AD22B8"/>
    <w:rsid w:val="00AD2BC3"/>
    <w:rsid w:val="00AD3697"/>
    <w:rsid w:val="00AF1441"/>
    <w:rsid w:val="00B00513"/>
    <w:rsid w:val="00B02865"/>
    <w:rsid w:val="00B10CB4"/>
    <w:rsid w:val="00B15178"/>
    <w:rsid w:val="00B15ECD"/>
    <w:rsid w:val="00B16797"/>
    <w:rsid w:val="00B17263"/>
    <w:rsid w:val="00B226A9"/>
    <w:rsid w:val="00B227F8"/>
    <w:rsid w:val="00B3063D"/>
    <w:rsid w:val="00B3164C"/>
    <w:rsid w:val="00B345F1"/>
    <w:rsid w:val="00B34C19"/>
    <w:rsid w:val="00B36F8F"/>
    <w:rsid w:val="00B375F6"/>
    <w:rsid w:val="00B524BA"/>
    <w:rsid w:val="00B53380"/>
    <w:rsid w:val="00B55994"/>
    <w:rsid w:val="00B56795"/>
    <w:rsid w:val="00B60A6E"/>
    <w:rsid w:val="00B60DCE"/>
    <w:rsid w:val="00B615EF"/>
    <w:rsid w:val="00B6632F"/>
    <w:rsid w:val="00B70306"/>
    <w:rsid w:val="00B72228"/>
    <w:rsid w:val="00B732C3"/>
    <w:rsid w:val="00B737BD"/>
    <w:rsid w:val="00B80215"/>
    <w:rsid w:val="00B81A3F"/>
    <w:rsid w:val="00B84EBA"/>
    <w:rsid w:val="00B907D0"/>
    <w:rsid w:val="00B95B80"/>
    <w:rsid w:val="00B97EE3"/>
    <w:rsid w:val="00BB2B3D"/>
    <w:rsid w:val="00BC1B49"/>
    <w:rsid w:val="00BC66C2"/>
    <w:rsid w:val="00BC6CAF"/>
    <w:rsid w:val="00BD53ED"/>
    <w:rsid w:val="00BE47A2"/>
    <w:rsid w:val="00BE5084"/>
    <w:rsid w:val="00BE6C48"/>
    <w:rsid w:val="00BF087F"/>
    <w:rsid w:val="00BF0CD1"/>
    <w:rsid w:val="00BF5574"/>
    <w:rsid w:val="00BF6268"/>
    <w:rsid w:val="00BF677B"/>
    <w:rsid w:val="00BF78A9"/>
    <w:rsid w:val="00BF795F"/>
    <w:rsid w:val="00C00710"/>
    <w:rsid w:val="00C022D8"/>
    <w:rsid w:val="00C14057"/>
    <w:rsid w:val="00C14A77"/>
    <w:rsid w:val="00C16842"/>
    <w:rsid w:val="00C22591"/>
    <w:rsid w:val="00C23F15"/>
    <w:rsid w:val="00C24103"/>
    <w:rsid w:val="00C24A33"/>
    <w:rsid w:val="00C3163C"/>
    <w:rsid w:val="00C36102"/>
    <w:rsid w:val="00C420D1"/>
    <w:rsid w:val="00C446D3"/>
    <w:rsid w:val="00C46044"/>
    <w:rsid w:val="00C53608"/>
    <w:rsid w:val="00C62CE3"/>
    <w:rsid w:val="00C701FD"/>
    <w:rsid w:val="00C71A6D"/>
    <w:rsid w:val="00C76CE5"/>
    <w:rsid w:val="00C806FA"/>
    <w:rsid w:val="00C84C6B"/>
    <w:rsid w:val="00C86BF7"/>
    <w:rsid w:val="00C96051"/>
    <w:rsid w:val="00CA144C"/>
    <w:rsid w:val="00CA2715"/>
    <w:rsid w:val="00CA36D5"/>
    <w:rsid w:val="00CA747B"/>
    <w:rsid w:val="00CA77A4"/>
    <w:rsid w:val="00CB0EEE"/>
    <w:rsid w:val="00CB1412"/>
    <w:rsid w:val="00CB56EB"/>
    <w:rsid w:val="00CB6704"/>
    <w:rsid w:val="00CC5D41"/>
    <w:rsid w:val="00CD5B2B"/>
    <w:rsid w:val="00CD7179"/>
    <w:rsid w:val="00CE3AAF"/>
    <w:rsid w:val="00CE60E8"/>
    <w:rsid w:val="00CE6FAB"/>
    <w:rsid w:val="00CF0148"/>
    <w:rsid w:val="00D02706"/>
    <w:rsid w:val="00D03E58"/>
    <w:rsid w:val="00D05729"/>
    <w:rsid w:val="00D07FA4"/>
    <w:rsid w:val="00D16CD3"/>
    <w:rsid w:val="00D20AD2"/>
    <w:rsid w:val="00D246C7"/>
    <w:rsid w:val="00D266EC"/>
    <w:rsid w:val="00D31290"/>
    <w:rsid w:val="00D315CF"/>
    <w:rsid w:val="00D33627"/>
    <w:rsid w:val="00D4373D"/>
    <w:rsid w:val="00D53650"/>
    <w:rsid w:val="00D53DF9"/>
    <w:rsid w:val="00D543E0"/>
    <w:rsid w:val="00D55491"/>
    <w:rsid w:val="00D55616"/>
    <w:rsid w:val="00D574B1"/>
    <w:rsid w:val="00D615E5"/>
    <w:rsid w:val="00D616C5"/>
    <w:rsid w:val="00D7617A"/>
    <w:rsid w:val="00D82CA0"/>
    <w:rsid w:val="00D90938"/>
    <w:rsid w:val="00D928DE"/>
    <w:rsid w:val="00D9366B"/>
    <w:rsid w:val="00D95CE8"/>
    <w:rsid w:val="00D97F9B"/>
    <w:rsid w:val="00DA3059"/>
    <w:rsid w:val="00DA3978"/>
    <w:rsid w:val="00DA512C"/>
    <w:rsid w:val="00DA668B"/>
    <w:rsid w:val="00DA682D"/>
    <w:rsid w:val="00DB1ED9"/>
    <w:rsid w:val="00DB74C8"/>
    <w:rsid w:val="00DB7BD7"/>
    <w:rsid w:val="00DC0AEB"/>
    <w:rsid w:val="00DC4726"/>
    <w:rsid w:val="00DC6719"/>
    <w:rsid w:val="00DC6CFF"/>
    <w:rsid w:val="00DC7AF6"/>
    <w:rsid w:val="00DD0D69"/>
    <w:rsid w:val="00DD1D79"/>
    <w:rsid w:val="00DD1DE8"/>
    <w:rsid w:val="00DD357C"/>
    <w:rsid w:val="00DE026D"/>
    <w:rsid w:val="00DE1C87"/>
    <w:rsid w:val="00DE3B4F"/>
    <w:rsid w:val="00DE3BFE"/>
    <w:rsid w:val="00DE47EC"/>
    <w:rsid w:val="00DE6C71"/>
    <w:rsid w:val="00DF0A48"/>
    <w:rsid w:val="00DF165A"/>
    <w:rsid w:val="00DF5210"/>
    <w:rsid w:val="00DF646C"/>
    <w:rsid w:val="00E01529"/>
    <w:rsid w:val="00E0160A"/>
    <w:rsid w:val="00E0576E"/>
    <w:rsid w:val="00E11B52"/>
    <w:rsid w:val="00E14EFE"/>
    <w:rsid w:val="00E20C1B"/>
    <w:rsid w:val="00E25E39"/>
    <w:rsid w:val="00E27027"/>
    <w:rsid w:val="00E27EE7"/>
    <w:rsid w:val="00E34817"/>
    <w:rsid w:val="00E42324"/>
    <w:rsid w:val="00E454D1"/>
    <w:rsid w:val="00E458E8"/>
    <w:rsid w:val="00E459CE"/>
    <w:rsid w:val="00E47D60"/>
    <w:rsid w:val="00E51785"/>
    <w:rsid w:val="00E541AA"/>
    <w:rsid w:val="00E547E3"/>
    <w:rsid w:val="00E54FF0"/>
    <w:rsid w:val="00E56013"/>
    <w:rsid w:val="00E57276"/>
    <w:rsid w:val="00E60B0C"/>
    <w:rsid w:val="00E63CA7"/>
    <w:rsid w:val="00E711F0"/>
    <w:rsid w:val="00E71BD5"/>
    <w:rsid w:val="00E83F2C"/>
    <w:rsid w:val="00E8696F"/>
    <w:rsid w:val="00E960BE"/>
    <w:rsid w:val="00E96D4F"/>
    <w:rsid w:val="00EA1BC3"/>
    <w:rsid w:val="00EA21F3"/>
    <w:rsid w:val="00EA4646"/>
    <w:rsid w:val="00EA58A1"/>
    <w:rsid w:val="00EA6BFD"/>
    <w:rsid w:val="00EB1F28"/>
    <w:rsid w:val="00EB2D58"/>
    <w:rsid w:val="00EB313E"/>
    <w:rsid w:val="00EB4FA6"/>
    <w:rsid w:val="00EB5A58"/>
    <w:rsid w:val="00ED04F4"/>
    <w:rsid w:val="00ED4220"/>
    <w:rsid w:val="00ED4BD7"/>
    <w:rsid w:val="00EE2C3B"/>
    <w:rsid w:val="00EE31C8"/>
    <w:rsid w:val="00EE7683"/>
    <w:rsid w:val="00EE7833"/>
    <w:rsid w:val="00EF2584"/>
    <w:rsid w:val="00F0071D"/>
    <w:rsid w:val="00F01639"/>
    <w:rsid w:val="00F01A09"/>
    <w:rsid w:val="00F050B4"/>
    <w:rsid w:val="00F11DF1"/>
    <w:rsid w:val="00F1715E"/>
    <w:rsid w:val="00F2125B"/>
    <w:rsid w:val="00F25107"/>
    <w:rsid w:val="00F252C0"/>
    <w:rsid w:val="00F26578"/>
    <w:rsid w:val="00F31F44"/>
    <w:rsid w:val="00F32634"/>
    <w:rsid w:val="00F327C4"/>
    <w:rsid w:val="00F33D4A"/>
    <w:rsid w:val="00F439DF"/>
    <w:rsid w:val="00F43BB5"/>
    <w:rsid w:val="00F508FB"/>
    <w:rsid w:val="00F50D44"/>
    <w:rsid w:val="00F5264C"/>
    <w:rsid w:val="00F5545F"/>
    <w:rsid w:val="00F61538"/>
    <w:rsid w:val="00F62673"/>
    <w:rsid w:val="00F6316E"/>
    <w:rsid w:val="00F6452C"/>
    <w:rsid w:val="00F663D4"/>
    <w:rsid w:val="00F713FB"/>
    <w:rsid w:val="00F71A15"/>
    <w:rsid w:val="00F73836"/>
    <w:rsid w:val="00F7463A"/>
    <w:rsid w:val="00F7591E"/>
    <w:rsid w:val="00F759B3"/>
    <w:rsid w:val="00F772D3"/>
    <w:rsid w:val="00F80971"/>
    <w:rsid w:val="00F907B9"/>
    <w:rsid w:val="00F9517D"/>
    <w:rsid w:val="00FA1788"/>
    <w:rsid w:val="00FA47C7"/>
    <w:rsid w:val="00FA5CEF"/>
    <w:rsid w:val="00FA62AF"/>
    <w:rsid w:val="00FB6F41"/>
    <w:rsid w:val="00FD3DD6"/>
    <w:rsid w:val="00FD4E11"/>
    <w:rsid w:val="00FD545B"/>
    <w:rsid w:val="00FD559B"/>
    <w:rsid w:val="00FE12CC"/>
    <w:rsid w:val="00FE2276"/>
    <w:rsid w:val="00FE6695"/>
    <w:rsid w:val="00FF1B06"/>
    <w:rsid w:val="00FF1CF3"/>
    <w:rsid w:val="00FF2715"/>
    <w:rsid w:val="00FF349C"/>
    <w:rsid w:val="00FF56B5"/>
    <w:rsid w:val="00FF6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349D0C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52C"/>
    <w:pPr>
      <w:spacing w:after="200"/>
    </w:pPr>
    <w:rPr>
      <w:rFonts w:ascii="Calibri" w:hAnsi="Calibri"/>
      <w:sz w:val="22"/>
      <w:szCs w:val="24"/>
    </w:rPr>
  </w:style>
  <w:style w:type="paragraph" w:styleId="Heading1">
    <w:name w:val="heading 1"/>
    <w:basedOn w:val="Normal"/>
    <w:next w:val="Normal"/>
    <w:link w:val="Heading1Char"/>
    <w:qFormat/>
    <w:rsid w:val="002B3B0A"/>
    <w:pPr>
      <w:keepNext/>
      <w:spacing w:after="360"/>
      <w:contextualSpacing/>
      <w:outlineLvl w:val="0"/>
    </w:pPr>
    <w:rPr>
      <w:rFonts w:ascii="Futura Std Light" w:hAnsi="Futura Std Light" w:cs="Arial"/>
      <w:b/>
      <w:bCs/>
      <w:color w:val="004712" w:themeColor="accent1"/>
      <w:kern w:val="40"/>
      <w:sz w:val="48"/>
      <w:szCs w:val="32"/>
    </w:rPr>
  </w:style>
  <w:style w:type="paragraph" w:styleId="Heading2">
    <w:name w:val="heading 2"/>
    <w:basedOn w:val="Normal"/>
    <w:next w:val="Normal"/>
    <w:qFormat/>
    <w:rsid w:val="002B3B0A"/>
    <w:pPr>
      <w:keepNext/>
      <w:spacing w:before="240" w:after="40"/>
      <w:contextualSpacing/>
      <w:outlineLvl w:val="1"/>
    </w:pPr>
    <w:rPr>
      <w:rFonts w:ascii="Futura Std Medium" w:hAnsi="Futura Std Medium" w:cs="Arial"/>
      <w:bCs/>
      <w:iCs/>
      <w:color w:val="004712" w:themeColor="accent1"/>
      <w:sz w:val="30"/>
      <w:szCs w:val="28"/>
    </w:rPr>
  </w:style>
  <w:style w:type="paragraph" w:styleId="Heading3">
    <w:name w:val="heading 3"/>
    <w:basedOn w:val="Normal"/>
    <w:next w:val="Normal"/>
    <w:link w:val="Heading3Char"/>
    <w:qFormat/>
    <w:rsid w:val="002B3B0A"/>
    <w:pPr>
      <w:keepNext/>
      <w:spacing w:before="240" w:after="20"/>
      <w:contextualSpacing/>
      <w:outlineLvl w:val="2"/>
    </w:pPr>
    <w:rPr>
      <w:rFonts w:cs="Arial"/>
      <w:b/>
      <w:bCs/>
      <w:color w:val="004712" w:themeColor="accent1"/>
      <w:sz w:val="24"/>
      <w:szCs w:val="26"/>
    </w:rPr>
  </w:style>
  <w:style w:type="paragraph" w:styleId="Heading4">
    <w:name w:val="heading 4"/>
    <w:basedOn w:val="Normal"/>
    <w:next w:val="Normal"/>
    <w:qFormat/>
    <w:rsid w:val="002B3B0A"/>
    <w:pPr>
      <w:keepNext/>
      <w:spacing w:before="200"/>
      <w:outlineLvl w:val="3"/>
    </w:pPr>
    <w:rPr>
      <w:b/>
      <w:bCs/>
      <w:color w:val="004712" w:themeColor="accen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95B80"/>
    <w:pPr>
      <w:spacing w:after="40"/>
      <w:jc w:val="right"/>
      <w:outlineLvl w:val="0"/>
    </w:pPr>
    <w:rPr>
      <w:rFonts w:ascii="Futura Std Medium" w:hAnsi="Futura Std Medium" w:cs="Arial"/>
      <w:bCs/>
      <w:color w:val="FFFFFF"/>
      <w:kern w:val="48"/>
      <w:sz w:val="48"/>
      <w:szCs w:val="32"/>
    </w:rPr>
  </w:style>
  <w:style w:type="paragraph" w:styleId="Subtitle">
    <w:name w:val="Subtitle"/>
    <w:qFormat/>
    <w:rsid w:val="00B95B80"/>
    <w:pPr>
      <w:jc w:val="right"/>
      <w:outlineLvl w:val="1"/>
    </w:pPr>
    <w:rPr>
      <w:rFonts w:ascii="Futura Std Medium" w:hAnsi="Futura Std Medium" w:cs="Arial"/>
      <w:bCs/>
      <w:iCs/>
      <w:color w:val="FFFFFF"/>
      <w:sz w:val="30"/>
      <w:szCs w:val="28"/>
    </w:rPr>
  </w:style>
  <w:style w:type="paragraph" w:styleId="Footer">
    <w:name w:val="footer"/>
    <w:basedOn w:val="Normal"/>
    <w:link w:val="FooterChar"/>
    <w:uiPriority w:val="99"/>
    <w:rsid w:val="001131CD"/>
    <w:pPr>
      <w:tabs>
        <w:tab w:val="center" w:pos="4153"/>
        <w:tab w:val="right" w:pos="8306"/>
      </w:tabs>
      <w:spacing w:after="0"/>
      <w:jc w:val="right"/>
    </w:pPr>
    <w:rPr>
      <w:rFonts w:ascii="Futura Std Medium" w:hAnsi="Futura Std Medium"/>
      <w:color w:val="606060"/>
      <w:sz w:val="16"/>
    </w:rPr>
  </w:style>
  <w:style w:type="paragraph" w:customStyle="1" w:styleId="Contents">
    <w:name w:val="Contents"/>
    <w:basedOn w:val="Normal"/>
    <w:rsid w:val="009D26ED"/>
    <w:pPr>
      <w:pBdr>
        <w:bottom w:val="single" w:sz="4" w:space="1" w:color="606060"/>
      </w:pBdr>
      <w:spacing w:after="360"/>
      <w:contextualSpacing/>
    </w:pPr>
    <w:rPr>
      <w:rFonts w:ascii="Futura Std Medium" w:hAnsi="Futura Std Medium"/>
      <w:color w:val="005187"/>
      <w:sz w:val="48"/>
    </w:rPr>
  </w:style>
  <w:style w:type="paragraph" w:styleId="TOC1">
    <w:name w:val="toc 1"/>
    <w:basedOn w:val="Normal"/>
    <w:next w:val="Normal"/>
    <w:autoRedefine/>
    <w:uiPriority w:val="39"/>
    <w:rsid w:val="009D26ED"/>
  </w:style>
  <w:style w:type="paragraph" w:styleId="NoSpacing">
    <w:name w:val="No Spacing"/>
    <w:basedOn w:val="Normal"/>
    <w:qFormat/>
    <w:rsid w:val="00B95B80"/>
    <w:pPr>
      <w:spacing w:after="0"/>
    </w:pPr>
  </w:style>
  <w:style w:type="table" w:customStyle="1" w:styleId="QuantumBasicTable">
    <w:name w:val="Quantum Basic Table"/>
    <w:basedOn w:val="TableNormal"/>
    <w:rsid w:val="009E74E1"/>
    <w:pPr>
      <w:spacing w:before="40" w:after="40"/>
    </w:pPr>
    <w:rPr>
      <w:rFonts w:ascii="Calibri" w:hAnsi="Calibri"/>
      <w:sz w:val="22"/>
    </w:rPr>
    <w:tblPr>
      <w:tblBorders>
        <w:top w:val="single" w:sz="12" w:space="0" w:color="005187"/>
        <w:left w:val="single" w:sz="12" w:space="0" w:color="005187"/>
        <w:bottom w:val="single" w:sz="12" w:space="0" w:color="005187"/>
        <w:right w:val="single" w:sz="12" w:space="0" w:color="005187"/>
        <w:insideH w:val="single" w:sz="12" w:space="0" w:color="005187"/>
        <w:insideV w:val="single" w:sz="12" w:space="0" w:color="005187"/>
      </w:tblBorders>
    </w:tblPr>
    <w:tcPr>
      <w:vAlign w:val="center"/>
    </w:tcPr>
    <w:tblStylePr w:type="firstRow">
      <w:rPr>
        <w:b/>
        <w:color w:val="FFFFFF" w:themeColor="background1"/>
      </w:rPr>
      <w:tblPr/>
      <w:tcPr>
        <w:tcBorders>
          <w:top w:val="single" w:sz="4" w:space="0" w:color="004712" w:themeColor="accent1"/>
          <w:left w:val="single" w:sz="4" w:space="0" w:color="004712" w:themeColor="accent1"/>
          <w:bottom w:val="single" w:sz="4" w:space="0" w:color="004712" w:themeColor="accent1"/>
          <w:right w:val="single" w:sz="4" w:space="0" w:color="004712" w:themeColor="accent1"/>
          <w:insideH w:val="nil"/>
          <w:insideV w:val="single" w:sz="4" w:space="0" w:color="004712" w:themeColor="accent1"/>
          <w:tl2br w:val="nil"/>
          <w:tr2bl w:val="nil"/>
        </w:tcBorders>
        <w:shd w:val="clear" w:color="auto" w:fill="004712" w:themeFill="accent1"/>
      </w:tcPr>
    </w:tblStylePr>
  </w:style>
  <w:style w:type="table" w:customStyle="1" w:styleId="QuantumBandedTable">
    <w:name w:val="Quantum Banded Table"/>
    <w:basedOn w:val="TableNormal"/>
    <w:rsid w:val="00A57C69"/>
    <w:pPr>
      <w:spacing w:before="120" w:after="120"/>
    </w:pPr>
    <w:rPr>
      <w:rFonts w:ascii="Calibri" w:hAnsi="Calibri"/>
      <w:sz w:val="22"/>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vAlign w:val="center"/>
    </w:tcPr>
    <w:tblStylePr w:type="firstRow">
      <w:pPr>
        <w:wordWrap/>
        <w:spacing w:beforeLines="0" w:before="40" w:beforeAutospacing="0" w:afterLines="0" w:after="40" w:afterAutospacing="0" w:line="240" w:lineRule="auto"/>
      </w:pPr>
      <w:rPr>
        <w:b/>
        <w:color w:val="FFFFFF"/>
      </w:rPr>
      <w:tblPr/>
      <w:tcPr>
        <w:tc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nil"/>
          <w:insideV w:val="single" w:sz="6" w:space="0" w:color="FFFFFF" w:themeColor="background1"/>
          <w:tl2br w:val="nil"/>
          <w:tr2bl w:val="nil"/>
        </w:tcBorders>
        <w:shd w:val="clear" w:color="auto" w:fill="004712" w:themeFill="accent1"/>
      </w:tcPr>
    </w:tblStylePr>
    <w:tblStylePr w:type="band1Horz">
      <w:pPr>
        <w:wordWrap/>
        <w:spacing w:beforeLines="0" w:before="40" w:beforeAutospacing="0" w:afterLines="0" w:after="40" w:afterAutospacing="0"/>
      </w:pPr>
      <w:tblPr/>
      <w:tcPr>
        <w:shd w:val="clear" w:color="auto" w:fill="E8EEE8" w:themeFill="accent2"/>
      </w:tcPr>
    </w:tblStylePr>
    <w:tblStylePr w:type="band2Horz">
      <w:pPr>
        <w:wordWrap/>
        <w:spacing w:beforeLines="0" w:before="40" w:beforeAutospacing="0" w:afterLines="0" w:after="40" w:afterAutospacing="0"/>
      </w:pPr>
      <w:rPr>
        <w:color w:val="auto"/>
      </w:rPr>
      <w:tblPr/>
      <w:tcPr>
        <w:shd w:val="clear" w:color="auto" w:fill="F2F6F2" w:themeFill="accent3"/>
      </w:tcPr>
    </w:tblStylePr>
  </w:style>
  <w:style w:type="paragraph" w:styleId="ListBullet">
    <w:name w:val="List Bullet"/>
    <w:basedOn w:val="Normal"/>
    <w:qFormat/>
    <w:rsid w:val="004C7E97"/>
    <w:pPr>
      <w:numPr>
        <w:numId w:val="1"/>
      </w:numPr>
      <w:contextualSpacing/>
    </w:pPr>
  </w:style>
  <w:style w:type="paragraph" w:styleId="ListNumber">
    <w:name w:val="List Number"/>
    <w:basedOn w:val="Normal"/>
    <w:qFormat/>
    <w:rsid w:val="004C7E97"/>
    <w:pPr>
      <w:numPr>
        <w:numId w:val="2"/>
      </w:numPr>
    </w:pPr>
  </w:style>
  <w:style w:type="paragraph" w:styleId="Header">
    <w:name w:val="header"/>
    <w:basedOn w:val="Normal"/>
    <w:link w:val="HeaderChar"/>
    <w:rsid w:val="00C022D8"/>
    <w:pPr>
      <w:tabs>
        <w:tab w:val="center" w:pos="4513"/>
        <w:tab w:val="right" w:pos="9026"/>
      </w:tabs>
    </w:pPr>
  </w:style>
  <w:style w:type="character" w:customStyle="1" w:styleId="HeaderChar">
    <w:name w:val="Header Char"/>
    <w:link w:val="Header"/>
    <w:rsid w:val="00C022D8"/>
    <w:rPr>
      <w:rFonts w:ascii="Calibri" w:hAnsi="Calibri"/>
      <w:sz w:val="22"/>
      <w:szCs w:val="24"/>
    </w:rPr>
  </w:style>
  <w:style w:type="character" w:customStyle="1" w:styleId="Heading1Char">
    <w:name w:val="Heading 1 Char"/>
    <w:link w:val="Heading1"/>
    <w:rsid w:val="002B3B0A"/>
    <w:rPr>
      <w:rFonts w:ascii="Futura Std Light" w:hAnsi="Futura Std Light" w:cs="Arial"/>
      <w:b/>
      <w:bCs/>
      <w:color w:val="004712" w:themeColor="accent1"/>
      <w:kern w:val="40"/>
      <w:sz w:val="48"/>
      <w:szCs w:val="32"/>
    </w:rPr>
  </w:style>
  <w:style w:type="character" w:styleId="Emphasis">
    <w:name w:val="Emphasis"/>
    <w:qFormat/>
    <w:rsid w:val="00B95B80"/>
    <w:rPr>
      <w:i/>
      <w:iCs/>
    </w:rPr>
  </w:style>
  <w:style w:type="paragraph" w:styleId="ListParagraph">
    <w:name w:val="List Paragraph"/>
    <w:aliases w:val="PRI Bullets,List Paragraph1,Paragraphe de liste,Numbered Para 1,Dot pt,No Spacing1,List Paragraph Char Char Char,Indicator Text,Bullet 1,Bullet Points,MAIN CONTENT,List Paragraph12,F5 List Paragraph,OBC Bullet,List Paragraph11,L,3,Level1"/>
    <w:basedOn w:val="Normal"/>
    <w:link w:val="ListParagraphChar"/>
    <w:uiPriority w:val="34"/>
    <w:qFormat/>
    <w:rsid w:val="00B95B80"/>
    <w:pPr>
      <w:ind w:left="720"/>
      <w:contextualSpacing/>
    </w:pPr>
  </w:style>
  <w:style w:type="paragraph" w:customStyle="1" w:styleId="H1-NotShowninContents">
    <w:name w:val="H1 - Not Shown in Contents"/>
    <w:basedOn w:val="Heading1"/>
    <w:next w:val="Normal"/>
    <w:qFormat/>
    <w:rsid w:val="00E20C1B"/>
  </w:style>
  <w:style w:type="character" w:styleId="PageNumber">
    <w:name w:val="page number"/>
    <w:basedOn w:val="DefaultParagraphFont"/>
    <w:rsid w:val="00BC6CAF"/>
  </w:style>
  <w:style w:type="table" w:customStyle="1" w:styleId="TableGrid1">
    <w:name w:val="Table Grid1"/>
    <w:basedOn w:val="TableNormal"/>
    <w:uiPriority w:val="99"/>
    <w:rsid w:val="00BC6CAF"/>
    <w:rPr>
      <w:rFonts w:ascii="Calibri" w:hAnsi="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C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bold"/>
    <w:basedOn w:val="Normal"/>
    <w:qFormat/>
    <w:rsid w:val="001B4573"/>
    <w:pPr>
      <w:tabs>
        <w:tab w:val="left" w:pos="567"/>
      </w:tabs>
      <w:overflowPunct w:val="0"/>
      <w:autoSpaceDE w:val="0"/>
      <w:autoSpaceDN w:val="0"/>
      <w:adjustRightInd w:val="0"/>
      <w:spacing w:before="200" w:line="300" w:lineRule="auto"/>
      <w:textAlignment w:val="baseline"/>
    </w:pPr>
    <w:rPr>
      <w:rFonts w:ascii="Arial" w:hAnsi="Arial"/>
      <w:b/>
      <w:kern w:val="16"/>
      <w:sz w:val="20"/>
      <w:szCs w:val="20"/>
    </w:rPr>
  </w:style>
  <w:style w:type="paragraph" w:styleId="BalloonText">
    <w:name w:val="Balloon Text"/>
    <w:basedOn w:val="Normal"/>
    <w:link w:val="BalloonTextChar"/>
    <w:rsid w:val="001B4573"/>
    <w:pPr>
      <w:spacing w:after="0"/>
    </w:pPr>
    <w:rPr>
      <w:rFonts w:ascii="Tahoma" w:hAnsi="Tahoma" w:cs="Tahoma"/>
      <w:sz w:val="16"/>
      <w:szCs w:val="16"/>
    </w:rPr>
  </w:style>
  <w:style w:type="character" w:customStyle="1" w:styleId="BalloonTextChar">
    <w:name w:val="Balloon Text Char"/>
    <w:basedOn w:val="DefaultParagraphFont"/>
    <w:link w:val="BalloonText"/>
    <w:rsid w:val="001B4573"/>
    <w:rPr>
      <w:rFonts w:ascii="Tahoma" w:hAnsi="Tahoma" w:cs="Tahoma"/>
      <w:sz w:val="16"/>
      <w:szCs w:val="16"/>
    </w:rPr>
  </w:style>
  <w:style w:type="character" w:styleId="Hyperlink">
    <w:name w:val="Hyperlink"/>
    <w:basedOn w:val="DefaultParagraphFont"/>
    <w:uiPriority w:val="99"/>
    <w:unhideWhenUsed/>
    <w:rsid w:val="007532EC"/>
    <w:rPr>
      <w:color w:val="000000" w:themeColor="hyperlink"/>
      <w:u w:val="single"/>
    </w:rPr>
  </w:style>
  <w:style w:type="character" w:styleId="CommentReference">
    <w:name w:val="annotation reference"/>
    <w:basedOn w:val="DefaultParagraphFont"/>
    <w:semiHidden/>
    <w:unhideWhenUsed/>
    <w:rsid w:val="00DC0AEB"/>
    <w:rPr>
      <w:sz w:val="16"/>
      <w:szCs w:val="16"/>
    </w:rPr>
  </w:style>
  <w:style w:type="paragraph" w:styleId="CommentText">
    <w:name w:val="annotation text"/>
    <w:basedOn w:val="Normal"/>
    <w:link w:val="CommentTextChar"/>
    <w:semiHidden/>
    <w:unhideWhenUsed/>
    <w:rsid w:val="00DC0AEB"/>
    <w:rPr>
      <w:sz w:val="20"/>
      <w:szCs w:val="20"/>
    </w:rPr>
  </w:style>
  <w:style w:type="character" w:customStyle="1" w:styleId="CommentTextChar">
    <w:name w:val="Comment Text Char"/>
    <w:basedOn w:val="DefaultParagraphFont"/>
    <w:link w:val="CommentText"/>
    <w:semiHidden/>
    <w:rsid w:val="00DC0AEB"/>
    <w:rPr>
      <w:rFonts w:ascii="Calibri" w:hAnsi="Calibri"/>
    </w:rPr>
  </w:style>
  <w:style w:type="paragraph" w:styleId="CommentSubject">
    <w:name w:val="annotation subject"/>
    <w:basedOn w:val="CommentText"/>
    <w:next w:val="CommentText"/>
    <w:link w:val="CommentSubjectChar"/>
    <w:semiHidden/>
    <w:unhideWhenUsed/>
    <w:rsid w:val="00DC0AEB"/>
    <w:rPr>
      <w:b/>
      <w:bCs/>
    </w:rPr>
  </w:style>
  <w:style w:type="character" w:customStyle="1" w:styleId="CommentSubjectChar">
    <w:name w:val="Comment Subject Char"/>
    <w:basedOn w:val="CommentTextChar"/>
    <w:link w:val="CommentSubject"/>
    <w:semiHidden/>
    <w:rsid w:val="00DC0AEB"/>
    <w:rPr>
      <w:rFonts w:ascii="Calibri" w:hAnsi="Calibri"/>
      <w:b/>
      <w:bCs/>
    </w:rPr>
  </w:style>
  <w:style w:type="paragraph" w:styleId="Revision">
    <w:name w:val="Revision"/>
    <w:hidden/>
    <w:uiPriority w:val="99"/>
    <w:semiHidden/>
    <w:rsid w:val="00D928DE"/>
    <w:rPr>
      <w:rFonts w:ascii="Calibri" w:hAnsi="Calibri"/>
      <w:sz w:val="22"/>
      <w:szCs w:val="24"/>
    </w:rPr>
  </w:style>
  <w:style w:type="paragraph" w:styleId="NormalWeb">
    <w:name w:val="Normal (Web)"/>
    <w:basedOn w:val="Normal"/>
    <w:uiPriority w:val="99"/>
    <w:semiHidden/>
    <w:unhideWhenUsed/>
    <w:rsid w:val="009478E5"/>
    <w:pPr>
      <w:spacing w:before="100" w:beforeAutospacing="1" w:after="100" w:afterAutospacing="1"/>
    </w:pPr>
    <w:rPr>
      <w:rFonts w:ascii="Times New Roman" w:eastAsiaTheme="minorEastAsia" w:hAnsi="Times New Roman"/>
      <w:sz w:val="24"/>
    </w:rPr>
  </w:style>
  <w:style w:type="paragraph" w:customStyle="1" w:styleId="Tabletextlf">
    <w:name w:val="_Table text lf"/>
    <w:basedOn w:val="Normal"/>
    <w:qFormat/>
    <w:rsid w:val="00D97F9B"/>
    <w:pPr>
      <w:spacing w:after="0" w:line="280" w:lineRule="atLeast"/>
    </w:pPr>
    <w:rPr>
      <w:rFonts w:ascii="Arial" w:hAnsi="Arial"/>
      <w:sz w:val="18"/>
    </w:rPr>
  </w:style>
  <w:style w:type="character" w:customStyle="1" w:styleId="FooterChar">
    <w:name w:val="Footer Char"/>
    <w:basedOn w:val="DefaultParagraphFont"/>
    <w:link w:val="Footer"/>
    <w:uiPriority w:val="99"/>
    <w:rsid w:val="0052520B"/>
    <w:rPr>
      <w:rFonts w:ascii="Futura Std Medium" w:hAnsi="Futura Std Medium"/>
      <w:color w:val="606060"/>
      <w:sz w:val="16"/>
      <w:szCs w:val="24"/>
    </w:rPr>
  </w:style>
  <w:style w:type="character" w:styleId="IntenseEmphasis">
    <w:name w:val="Intense Emphasis"/>
    <w:basedOn w:val="DefaultParagraphFont"/>
    <w:uiPriority w:val="21"/>
    <w:qFormat/>
    <w:rsid w:val="002B3B0A"/>
    <w:rPr>
      <w:i/>
      <w:iCs/>
      <w:color w:val="004712" w:themeColor="accent1"/>
    </w:rPr>
  </w:style>
  <w:style w:type="paragraph" w:styleId="IntenseQuote">
    <w:name w:val="Intense Quote"/>
    <w:basedOn w:val="Normal"/>
    <w:next w:val="Normal"/>
    <w:link w:val="IntenseQuoteChar"/>
    <w:uiPriority w:val="30"/>
    <w:qFormat/>
    <w:rsid w:val="002B3B0A"/>
    <w:pPr>
      <w:pBdr>
        <w:top w:val="single" w:sz="4" w:space="10" w:color="004712" w:themeColor="accent1"/>
        <w:bottom w:val="single" w:sz="4" w:space="10" w:color="004712" w:themeColor="accent1"/>
      </w:pBdr>
      <w:spacing w:before="360" w:after="360"/>
      <w:ind w:left="864" w:right="864"/>
      <w:jc w:val="center"/>
    </w:pPr>
    <w:rPr>
      <w:i/>
      <w:iCs/>
      <w:color w:val="004712" w:themeColor="accent1"/>
    </w:rPr>
  </w:style>
  <w:style w:type="character" w:customStyle="1" w:styleId="IntenseQuoteChar">
    <w:name w:val="Intense Quote Char"/>
    <w:basedOn w:val="DefaultParagraphFont"/>
    <w:link w:val="IntenseQuote"/>
    <w:uiPriority w:val="30"/>
    <w:rsid w:val="002B3B0A"/>
    <w:rPr>
      <w:rFonts w:ascii="Calibri" w:hAnsi="Calibri"/>
      <w:i/>
      <w:iCs/>
      <w:color w:val="004712" w:themeColor="accent1"/>
      <w:sz w:val="22"/>
      <w:szCs w:val="24"/>
    </w:rPr>
  </w:style>
  <w:style w:type="character" w:styleId="IntenseReference">
    <w:name w:val="Intense Reference"/>
    <w:basedOn w:val="DefaultParagraphFont"/>
    <w:uiPriority w:val="32"/>
    <w:qFormat/>
    <w:rsid w:val="002B3B0A"/>
    <w:rPr>
      <w:b/>
      <w:bCs/>
      <w:smallCaps/>
      <w:color w:val="004712" w:themeColor="accent1"/>
      <w:spacing w:val="5"/>
    </w:rPr>
  </w:style>
  <w:style w:type="character" w:customStyle="1" w:styleId="UnresolvedMention1">
    <w:name w:val="Unresolved Mention1"/>
    <w:basedOn w:val="DefaultParagraphFont"/>
    <w:uiPriority w:val="99"/>
    <w:semiHidden/>
    <w:unhideWhenUsed/>
    <w:rsid w:val="009F0DD2"/>
    <w:rPr>
      <w:color w:val="605E5C"/>
      <w:shd w:val="clear" w:color="auto" w:fill="E1DFDD"/>
    </w:rPr>
  </w:style>
  <w:style w:type="character" w:styleId="FollowedHyperlink">
    <w:name w:val="FollowedHyperlink"/>
    <w:basedOn w:val="DefaultParagraphFont"/>
    <w:semiHidden/>
    <w:unhideWhenUsed/>
    <w:rsid w:val="003A1E4F"/>
    <w:rPr>
      <w:color w:val="004712" w:themeColor="followedHyperlink"/>
      <w:u w:val="single"/>
    </w:rPr>
  </w:style>
  <w:style w:type="paragraph" w:customStyle="1" w:styleId="Normal2">
    <w:name w:val="Normal2"/>
    <w:basedOn w:val="Normal"/>
    <w:rsid w:val="00491276"/>
    <w:pPr>
      <w:tabs>
        <w:tab w:val="left" w:pos="720"/>
      </w:tabs>
      <w:spacing w:before="240" w:after="0"/>
      <w:ind w:left="720"/>
      <w:jc w:val="both"/>
    </w:pPr>
    <w:rPr>
      <w:rFonts w:ascii="Times New Roman" w:hAnsi="Times New Roman"/>
      <w:szCs w:val="20"/>
    </w:rPr>
  </w:style>
  <w:style w:type="paragraph" w:styleId="FootnoteText">
    <w:name w:val="footnote text"/>
    <w:basedOn w:val="Normal"/>
    <w:link w:val="FootnoteTextChar"/>
    <w:semiHidden/>
    <w:unhideWhenUsed/>
    <w:rsid w:val="00826537"/>
    <w:pPr>
      <w:spacing w:after="0"/>
    </w:pPr>
    <w:rPr>
      <w:sz w:val="20"/>
      <w:szCs w:val="20"/>
    </w:rPr>
  </w:style>
  <w:style w:type="character" w:customStyle="1" w:styleId="FootnoteTextChar">
    <w:name w:val="Footnote Text Char"/>
    <w:basedOn w:val="DefaultParagraphFont"/>
    <w:link w:val="FootnoteText"/>
    <w:semiHidden/>
    <w:rsid w:val="00826537"/>
    <w:rPr>
      <w:rFonts w:ascii="Calibri" w:hAnsi="Calibri"/>
    </w:rPr>
  </w:style>
  <w:style w:type="character" w:styleId="FootnoteReference">
    <w:name w:val="footnote reference"/>
    <w:basedOn w:val="DefaultParagraphFont"/>
    <w:semiHidden/>
    <w:unhideWhenUsed/>
    <w:rsid w:val="00826537"/>
    <w:rPr>
      <w:vertAlign w:val="superscript"/>
    </w:rPr>
  </w:style>
  <w:style w:type="character" w:customStyle="1" w:styleId="Heading3Char">
    <w:name w:val="Heading 3 Char"/>
    <w:basedOn w:val="DefaultParagraphFont"/>
    <w:link w:val="Heading3"/>
    <w:rsid w:val="00E14EFE"/>
    <w:rPr>
      <w:rFonts w:ascii="Calibri" w:hAnsi="Calibri" w:cs="Arial"/>
      <w:b/>
      <w:bCs/>
      <w:color w:val="004712" w:themeColor="accent1"/>
      <w:sz w:val="24"/>
      <w:szCs w:val="26"/>
    </w:rPr>
  </w:style>
  <w:style w:type="character" w:customStyle="1" w:styleId="ListParagraphChar">
    <w:name w:val="List Paragraph Char"/>
    <w:aliases w:val="PRI Bullets Char,List Paragraph1 Char,Paragraphe de liste Char,Numbered Para 1 Char,Dot pt Char,No Spacing1 Char,List Paragraph Char Char Char Char,Indicator Text Char,Bullet 1 Char,Bullet Points Char,MAIN CONTENT Char,L Char,3 Char"/>
    <w:link w:val="ListParagraph"/>
    <w:uiPriority w:val="34"/>
    <w:locked/>
    <w:rsid w:val="00476256"/>
    <w:rPr>
      <w:rFonts w:ascii="Calibri" w:hAnsi="Calibri"/>
      <w:sz w:val="22"/>
      <w:szCs w:val="24"/>
    </w:rPr>
  </w:style>
  <w:style w:type="paragraph" w:customStyle="1" w:styleId="Default">
    <w:name w:val="Default"/>
    <w:rsid w:val="007159C2"/>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43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772624">
      <w:bodyDiv w:val="1"/>
      <w:marLeft w:val="0"/>
      <w:marRight w:val="0"/>
      <w:marTop w:val="0"/>
      <w:marBottom w:val="0"/>
      <w:divBdr>
        <w:top w:val="none" w:sz="0" w:space="0" w:color="auto"/>
        <w:left w:val="none" w:sz="0" w:space="0" w:color="auto"/>
        <w:bottom w:val="none" w:sz="0" w:space="0" w:color="auto"/>
        <w:right w:val="none" w:sz="0" w:space="0" w:color="auto"/>
      </w:divBdr>
    </w:div>
    <w:div w:id="334650734">
      <w:bodyDiv w:val="1"/>
      <w:marLeft w:val="0"/>
      <w:marRight w:val="0"/>
      <w:marTop w:val="0"/>
      <w:marBottom w:val="0"/>
      <w:divBdr>
        <w:top w:val="none" w:sz="0" w:space="0" w:color="auto"/>
        <w:left w:val="none" w:sz="0" w:space="0" w:color="auto"/>
        <w:bottom w:val="none" w:sz="0" w:space="0" w:color="auto"/>
        <w:right w:val="none" w:sz="0" w:space="0" w:color="auto"/>
      </w:divBdr>
    </w:div>
    <w:div w:id="353188060">
      <w:bodyDiv w:val="1"/>
      <w:marLeft w:val="0"/>
      <w:marRight w:val="0"/>
      <w:marTop w:val="0"/>
      <w:marBottom w:val="0"/>
      <w:divBdr>
        <w:top w:val="none" w:sz="0" w:space="0" w:color="auto"/>
        <w:left w:val="none" w:sz="0" w:space="0" w:color="auto"/>
        <w:bottom w:val="none" w:sz="0" w:space="0" w:color="auto"/>
        <w:right w:val="none" w:sz="0" w:space="0" w:color="auto"/>
      </w:divBdr>
    </w:div>
    <w:div w:id="404500988">
      <w:bodyDiv w:val="1"/>
      <w:marLeft w:val="0"/>
      <w:marRight w:val="0"/>
      <w:marTop w:val="0"/>
      <w:marBottom w:val="0"/>
      <w:divBdr>
        <w:top w:val="none" w:sz="0" w:space="0" w:color="auto"/>
        <w:left w:val="none" w:sz="0" w:space="0" w:color="auto"/>
        <w:bottom w:val="none" w:sz="0" w:space="0" w:color="auto"/>
        <w:right w:val="none" w:sz="0" w:space="0" w:color="auto"/>
      </w:divBdr>
    </w:div>
    <w:div w:id="406807681">
      <w:bodyDiv w:val="1"/>
      <w:marLeft w:val="0"/>
      <w:marRight w:val="0"/>
      <w:marTop w:val="0"/>
      <w:marBottom w:val="0"/>
      <w:divBdr>
        <w:top w:val="none" w:sz="0" w:space="0" w:color="auto"/>
        <w:left w:val="none" w:sz="0" w:space="0" w:color="auto"/>
        <w:bottom w:val="none" w:sz="0" w:space="0" w:color="auto"/>
        <w:right w:val="none" w:sz="0" w:space="0" w:color="auto"/>
      </w:divBdr>
    </w:div>
    <w:div w:id="444082997">
      <w:bodyDiv w:val="1"/>
      <w:marLeft w:val="0"/>
      <w:marRight w:val="0"/>
      <w:marTop w:val="0"/>
      <w:marBottom w:val="0"/>
      <w:divBdr>
        <w:top w:val="none" w:sz="0" w:space="0" w:color="auto"/>
        <w:left w:val="none" w:sz="0" w:space="0" w:color="auto"/>
        <w:bottom w:val="none" w:sz="0" w:space="0" w:color="auto"/>
        <w:right w:val="none" w:sz="0" w:space="0" w:color="auto"/>
      </w:divBdr>
    </w:div>
    <w:div w:id="631400270">
      <w:bodyDiv w:val="1"/>
      <w:marLeft w:val="0"/>
      <w:marRight w:val="0"/>
      <w:marTop w:val="0"/>
      <w:marBottom w:val="0"/>
      <w:divBdr>
        <w:top w:val="none" w:sz="0" w:space="0" w:color="auto"/>
        <w:left w:val="none" w:sz="0" w:space="0" w:color="auto"/>
        <w:bottom w:val="none" w:sz="0" w:space="0" w:color="auto"/>
        <w:right w:val="none" w:sz="0" w:space="0" w:color="auto"/>
      </w:divBdr>
    </w:div>
    <w:div w:id="663361752">
      <w:bodyDiv w:val="1"/>
      <w:marLeft w:val="0"/>
      <w:marRight w:val="0"/>
      <w:marTop w:val="0"/>
      <w:marBottom w:val="0"/>
      <w:divBdr>
        <w:top w:val="none" w:sz="0" w:space="0" w:color="auto"/>
        <w:left w:val="none" w:sz="0" w:space="0" w:color="auto"/>
        <w:bottom w:val="none" w:sz="0" w:space="0" w:color="auto"/>
        <w:right w:val="none" w:sz="0" w:space="0" w:color="auto"/>
      </w:divBdr>
    </w:div>
    <w:div w:id="678313713">
      <w:bodyDiv w:val="1"/>
      <w:marLeft w:val="0"/>
      <w:marRight w:val="0"/>
      <w:marTop w:val="0"/>
      <w:marBottom w:val="0"/>
      <w:divBdr>
        <w:top w:val="none" w:sz="0" w:space="0" w:color="auto"/>
        <w:left w:val="none" w:sz="0" w:space="0" w:color="auto"/>
        <w:bottom w:val="none" w:sz="0" w:space="0" w:color="auto"/>
        <w:right w:val="none" w:sz="0" w:space="0" w:color="auto"/>
      </w:divBdr>
    </w:div>
    <w:div w:id="679549607">
      <w:bodyDiv w:val="1"/>
      <w:marLeft w:val="0"/>
      <w:marRight w:val="0"/>
      <w:marTop w:val="0"/>
      <w:marBottom w:val="0"/>
      <w:divBdr>
        <w:top w:val="none" w:sz="0" w:space="0" w:color="auto"/>
        <w:left w:val="none" w:sz="0" w:space="0" w:color="auto"/>
        <w:bottom w:val="none" w:sz="0" w:space="0" w:color="auto"/>
        <w:right w:val="none" w:sz="0" w:space="0" w:color="auto"/>
      </w:divBdr>
    </w:div>
    <w:div w:id="704331057">
      <w:bodyDiv w:val="1"/>
      <w:marLeft w:val="0"/>
      <w:marRight w:val="0"/>
      <w:marTop w:val="0"/>
      <w:marBottom w:val="0"/>
      <w:divBdr>
        <w:top w:val="none" w:sz="0" w:space="0" w:color="auto"/>
        <w:left w:val="none" w:sz="0" w:space="0" w:color="auto"/>
        <w:bottom w:val="none" w:sz="0" w:space="0" w:color="auto"/>
        <w:right w:val="none" w:sz="0" w:space="0" w:color="auto"/>
      </w:divBdr>
    </w:div>
    <w:div w:id="1108542803">
      <w:bodyDiv w:val="1"/>
      <w:marLeft w:val="0"/>
      <w:marRight w:val="0"/>
      <w:marTop w:val="0"/>
      <w:marBottom w:val="0"/>
      <w:divBdr>
        <w:top w:val="none" w:sz="0" w:space="0" w:color="auto"/>
        <w:left w:val="none" w:sz="0" w:space="0" w:color="auto"/>
        <w:bottom w:val="none" w:sz="0" w:space="0" w:color="auto"/>
        <w:right w:val="none" w:sz="0" w:space="0" w:color="auto"/>
      </w:divBdr>
    </w:div>
    <w:div w:id="1133715914">
      <w:bodyDiv w:val="1"/>
      <w:marLeft w:val="0"/>
      <w:marRight w:val="0"/>
      <w:marTop w:val="0"/>
      <w:marBottom w:val="0"/>
      <w:divBdr>
        <w:top w:val="none" w:sz="0" w:space="0" w:color="auto"/>
        <w:left w:val="none" w:sz="0" w:space="0" w:color="auto"/>
        <w:bottom w:val="none" w:sz="0" w:space="0" w:color="auto"/>
        <w:right w:val="none" w:sz="0" w:space="0" w:color="auto"/>
      </w:divBdr>
    </w:div>
    <w:div w:id="1148672773">
      <w:bodyDiv w:val="1"/>
      <w:marLeft w:val="0"/>
      <w:marRight w:val="0"/>
      <w:marTop w:val="0"/>
      <w:marBottom w:val="0"/>
      <w:divBdr>
        <w:top w:val="none" w:sz="0" w:space="0" w:color="auto"/>
        <w:left w:val="none" w:sz="0" w:space="0" w:color="auto"/>
        <w:bottom w:val="none" w:sz="0" w:space="0" w:color="auto"/>
        <w:right w:val="none" w:sz="0" w:space="0" w:color="auto"/>
      </w:divBdr>
    </w:div>
    <w:div w:id="1227492196">
      <w:bodyDiv w:val="1"/>
      <w:marLeft w:val="0"/>
      <w:marRight w:val="0"/>
      <w:marTop w:val="0"/>
      <w:marBottom w:val="0"/>
      <w:divBdr>
        <w:top w:val="none" w:sz="0" w:space="0" w:color="auto"/>
        <w:left w:val="none" w:sz="0" w:space="0" w:color="auto"/>
        <w:bottom w:val="none" w:sz="0" w:space="0" w:color="auto"/>
        <w:right w:val="none" w:sz="0" w:space="0" w:color="auto"/>
      </w:divBdr>
    </w:div>
    <w:div w:id="1392381683">
      <w:bodyDiv w:val="1"/>
      <w:marLeft w:val="0"/>
      <w:marRight w:val="0"/>
      <w:marTop w:val="0"/>
      <w:marBottom w:val="0"/>
      <w:divBdr>
        <w:top w:val="none" w:sz="0" w:space="0" w:color="auto"/>
        <w:left w:val="none" w:sz="0" w:space="0" w:color="auto"/>
        <w:bottom w:val="none" w:sz="0" w:space="0" w:color="auto"/>
        <w:right w:val="none" w:sz="0" w:space="0" w:color="auto"/>
      </w:divBdr>
    </w:div>
    <w:div w:id="1426806368">
      <w:bodyDiv w:val="1"/>
      <w:marLeft w:val="0"/>
      <w:marRight w:val="0"/>
      <w:marTop w:val="0"/>
      <w:marBottom w:val="0"/>
      <w:divBdr>
        <w:top w:val="none" w:sz="0" w:space="0" w:color="auto"/>
        <w:left w:val="none" w:sz="0" w:space="0" w:color="auto"/>
        <w:bottom w:val="none" w:sz="0" w:space="0" w:color="auto"/>
        <w:right w:val="none" w:sz="0" w:space="0" w:color="auto"/>
      </w:divBdr>
    </w:div>
    <w:div w:id="2070374694">
      <w:bodyDiv w:val="1"/>
      <w:marLeft w:val="0"/>
      <w:marRight w:val="0"/>
      <w:marTop w:val="0"/>
      <w:marBottom w:val="0"/>
      <w:divBdr>
        <w:top w:val="none" w:sz="0" w:space="0" w:color="auto"/>
        <w:left w:val="none" w:sz="0" w:space="0" w:color="auto"/>
        <w:bottom w:val="none" w:sz="0" w:space="0" w:color="auto"/>
        <w:right w:val="none" w:sz="0" w:space="0" w:color="auto"/>
      </w:divBdr>
    </w:div>
    <w:div w:id="2114666000">
      <w:bodyDiv w:val="1"/>
      <w:marLeft w:val="0"/>
      <w:marRight w:val="0"/>
      <w:marTop w:val="0"/>
      <w:marBottom w:val="0"/>
      <w:divBdr>
        <w:top w:val="none" w:sz="0" w:space="0" w:color="auto"/>
        <w:left w:val="none" w:sz="0" w:space="0" w:color="auto"/>
        <w:bottom w:val="none" w:sz="0" w:space="0" w:color="auto"/>
        <w:right w:val="none" w:sz="0" w:space="0" w:color="auto"/>
      </w:divBdr>
    </w:div>
    <w:div w:id="212299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smith.com/conflicts-of-interest-stateme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Quantum Word Theme">
  <a:themeElements>
    <a:clrScheme name="Quantum - Investment Consultancy">
      <a:dk1>
        <a:srgbClr val="000000"/>
      </a:dk1>
      <a:lt1>
        <a:srgbClr val="FFFFFF"/>
      </a:lt1>
      <a:dk2>
        <a:srgbClr val="FFFFFF"/>
      </a:dk2>
      <a:lt2>
        <a:srgbClr val="E8EEE8"/>
      </a:lt2>
      <a:accent1>
        <a:srgbClr val="004712"/>
      </a:accent1>
      <a:accent2>
        <a:srgbClr val="E8EEE8"/>
      </a:accent2>
      <a:accent3>
        <a:srgbClr val="F2F6F2"/>
      </a:accent3>
      <a:accent4>
        <a:srgbClr val="005187"/>
      </a:accent4>
      <a:accent5>
        <a:srgbClr val="AAB3C3"/>
      </a:accent5>
      <a:accent6>
        <a:srgbClr val="5F6062"/>
      </a:accent6>
      <a:hlink>
        <a:srgbClr val="000000"/>
      </a:hlink>
      <a:folHlink>
        <a:srgbClr val="004712"/>
      </a:folHlink>
    </a:clrScheme>
    <a:fontScheme name="Quantum">
      <a:majorFont>
        <a:latin typeface="Futura Std Medium"/>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F1ABA-14BA-47F7-BF12-A55DD05E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2340</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2025-03-26T15:27:00Z</dcterms:created>
  <dcterms:modified xsi:type="dcterms:W3CDTF">2025-03-26T15:27:00Z</dcterms:modified>
</cp:coreProperties>
</file>